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33" w:rsidRDefault="00E10233" w:rsidP="005C75F5">
      <w:pPr>
        <w:spacing w:after="0"/>
        <w:jc w:val="center"/>
        <w:rPr>
          <w:b/>
          <w:sz w:val="28"/>
          <w:szCs w:val="28"/>
        </w:rPr>
      </w:pPr>
      <w:r w:rsidRPr="009638A8">
        <w:rPr>
          <w:b/>
          <w:sz w:val="28"/>
          <w:szCs w:val="28"/>
        </w:rPr>
        <w:t xml:space="preserve">La formation </w:t>
      </w:r>
      <w:r>
        <w:rPr>
          <w:b/>
          <w:sz w:val="28"/>
          <w:szCs w:val="28"/>
        </w:rPr>
        <w:t>aux métiers de l’</w:t>
      </w:r>
      <w:r w:rsidRPr="009638A8">
        <w:rPr>
          <w:b/>
          <w:sz w:val="28"/>
          <w:szCs w:val="28"/>
        </w:rPr>
        <w:t xml:space="preserve">orientation </w:t>
      </w:r>
      <w:r>
        <w:rPr>
          <w:b/>
          <w:sz w:val="28"/>
          <w:szCs w:val="28"/>
        </w:rPr>
        <w:t xml:space="preserve">de niveau Master </w:t>
      </w:r>
    </w:p>
    <w:p w:rsidR="00E10233" w:rsidRPr="009638A8" w:rsidRDefault="00E10233" w:rsidP="005C75F5">
      <w:pPr>
        <w:spacing w:after="0"/>
        <w:jc w:val="center"/>
        <w:rPr>
          <w:b/>
          <w:sz w:val="28"/>
          <w:szCs w:val="28"/>
        </w:rPr>
      </w:pPr>
      <w:r w:rsidRPr="009638A8">
        <w:rPr>
          <w:b/>
          <w:sz w:val="28"/>
          <w:szCs w:val="28"/>
        </w:rPr>
        <w:t xml:space="preserve">à l’INETOP/CNAM Paris </w:t>
      </w:r>
      <w:r>
        <w:rPr>
          <w:b/>
          <w:sz w:val="28"/>
          <w:szCs w:val="28"/>
        </w:rPr>
        <w:t xml:space="preserve">pour </w:t>
      </w:r>
      <w:r w:rsidRPr="009638A8">
        <w:rPr>
          <w:b/>
          <w:sz w:val="28"/>
          <w:szCs w:val="28"/>
        </w:rPr>
        <w:t>2014</w:t>
      </w:r>
      <w:r>
        <w:rPr>
          <w:b/>
          <w:sz w:val="28"/>
          <w:szCs w:val="28"/>
        </w:rPr>
        <w:t>/15</w:t>
      </w:r>
    </w:p>
    <w:p w:rsidR="00E10233" w:rsidRDefault="00E10233" w:rsidP="00F35FAB">
      <w:pPr>
        <w:spacing w:after="0"/>
        <w:jc w:val="both"/>
        <w:rPr>
          <w:b/>
        </w:rPr>
      </w:pPr>
    </w:p>
    <w:p w:rsidR="00E10233" w:rsidRDefault="00E10233" w:rsidP="00F35FAB">
      <w:pPr>
        <w:spacing w:after="0"/>
        <w:jc w:val="both"/>
      </w:pPr>
      <w:r w:rsidRPr="00F35FAB">
        <w:t>L’INETOP propose deux cursus </w:t>
      </w:r>
      <w:r>
        <w:t xml:space="preserve">de master professionnel (voir le détail des enseignements et le planning prévisionnel des cours sur le site de l’INETOP </w:t>
      </w:r>
      <w:hyperlink r:id="rId7" w:history="1">
        <w:r w:rsidRPr="00217048">
          <w:rPr>
            <w:rStyle w:val="Hyperlink"/>
            <w:color w:val="auto"/>
          </w:rPr>
          <w:t>http://inetop.cnam.fr/</w:t>
        </w:r>
      </w:hyperlink>
      <w:r>
        <w:t xml:space="preserve"> ) </w:t>
      </w:r>
      <w:r w:rsidRPr="00F35FAB">
        <w:t>:</w:t>
      </w:r>
    </w:p>
    <w:p w:rsidR="00E10233" w:rsidRDefault="00E10233" w:rsidP="00F35FAB">
      <w:pPr>
        <w:pStyle w:val="ListParagraph"/>
        <w:numPr>
          <w:ilvl w:val="0"/>
          <w:numId w:val="1"/>
        </w:numPr>
        <w:spacing w:after="0"/>
        <w:jc w:val="both"/>
      </w:pPr>
      <w:r w:rsidRPr="00F35FAB">
        <w:rPr>
          <w:b/>
        </w:rPr>
        <w:t xml:space="preserve">le Master </w:t>
      </w:r>
      <w:r w:rsidRPr="00F35FAB">
        <w:rPr>
          <w:b/>
          <w:i/>
        </w:rPr>
        <w:t>Psychologie de l’orientation</w:t>
      </w:r>
      <w:r>
        <w:t> </w:t>
      </w:r>
      <w:r w:rsidRPr="00CE150A">
        <w:rPr>
          <w:b/>
          <w:i/>
        </w:rPr>
        <w:t>et du conseil</w:t>
      </w:r>
      <w:r>
        <w:t xml:space="preserve"> MR060 (Master 1 </w:t>
      </w:r>
      <w:r>
        <w:rPr>
          <w:i/>
        </w:rPr>
        <w:t xml:space="preserve">Psychologie de l’orientation et du travail </w:t>
      </w:r>
      <w:r>
        <w:t xml:space="preserve">et Master 2 professionnel </w:t>
      </w:r>
      <w:r w:rsidRPr="009638A8">
        <w:rPr>
          <w:i/>
        </w:rPr>
        <w:t>Psychologie de l’orientation</w:t>
      </w:r>
      <w:r w:rsidRPr="009638A8">
        <w:t> </w:t>
      </w:r>
      <w:r w:rsidRPr="009638A8">
        <w:rPr>
          <w:i/>
        </w:rPr>
        <w:t>et du conseil</w:t>
      </w:r>
      <w:r>
        <w:t>) : accès réservé aux personnes titulaires d’une licence de psychologie pour une entrée en M1 ou d’un Master 1 en psychologie (ou équivalent) pour une entrée en M2 (procédure VAP possible). La validation du Master 2 donne accès au titre de psychologue.</w:t>
      </w:r>
    </w:p>
    <w:p w:rsidR="00E10233" w:rsidRDefault="00E10233" w:rsidP="00F35FAB">
      <w:pPr>
        <w:pStyle w:val="ListParagraph"/>
        <w:numPr>
          <w:ilvl w:val="0"/>
          <w:numId w:val="1"/>
        </w:numPr>
        <w:spacing w:after="0"/>
        <w:jc w:val="both"/>
      </w:pPr>
      <w:r>
        <w:rPr>
          <w:b/>
        </w:rPr>
        <w:t xml:space="preserve">Le Master </w:t>
      </w:r>
      <w:r>
        <w:rPr>
          <w:b/>
          <w:i/>
        </w:rPr>
        <w:t xml:space="preserve">COBI : </w:t>
      </w:r>
      <w:r w:rsidRPr="00F35FAB">
        <w:rPr>
          <w:b/>
          <w:i/>
        </w:rPr>
        <w:t>Conseil en orientation, bilan et insertion</w:t>
      </w:r>
      <w:r>
        <w:t> MR061 (Master 1 et Master 2 professionnel) : accès réservé aux professionnels justifiant de 3 ans d’expérience dans des domaines de l’orientation, de l’insertion, de la formation ou des R.H. Accès en M1 pour les titulaires d’une licence (toutes spécialités). Accès en M2 avec le M1 COBI validé (ou sur examen du dossier pour autre M1). Ce cursus ne permet pas l’accès au titre de psychologue.</w:t>
      </w:r>
    </w:p>
    <w:p w:rsidR="00E10233" w:rsidRDefault="00E10233" w:rsidP="0080165F">
      <w:pPr>
        <w:widowControl w:val="0"/>
        <w:tabs>
          <w:tab w:val="left" w:pos="567"/>
        </w:tabs>
        <w:autoSpaceDE w:val="0"/>
        <w:autoSpaceDN w:val="0"/>
        <w:adjustRightInd w:val="0"/>
        <w:spacing w:after="0"/>
        <w:ind w:right="-8"/>
        <w:jc w:val="both"/>
        <w:rPr>
          <w:b/>
        </w:rPr>
      </w:pPr>
    </w:p>
    <w:p w:rsidR="00E10233" w:rsidRPr="0080165F" w:rsidRDefault="00E10233" w:rsidP="0080165F">
      <w:pPr>
        <w:widowControl w:val="0"/>
        <w:tabs>
          <w:tab w:val="left" w:pos="567"/>
        </w:tabs>
        <w:autoSpaceDE w:val="0"/>
        <w:autoSpaceDN w:val="0"/>
        <w:adjustRightInd w:val="0"/>
        <w:spacing w:after="0"/>
        <w:ind w:right="-8"/>
        <w:jc w:val="both"/>
        <w:rPr>
          <w:b/>
        </w:rPr>
      </w:pPr>
      <w:r w:rsidRPr="0080165F">
        <w:rPr>
          <w:b/>
        </w:rPr>
        <w:t>Contacts</w:t>
      </w:r>
    </w:p>
    <w:p w:rsidR="00E10233" w:rsidRDefault="00E10233" w:rsidP="0080165F">
      <w:pPr>
        <w:widowControl w:val="0"/>
        <w:tabs>
          <w:tab w:val="left" w:pos="567"/>
        </w:tabs>
        <w:autoSpaceDE w:val="0"/>
        <w:autoSpaceDN w:val="0"/>
        <w:adjustRightInd w:val="0"/>
        <w:spacing w:after="0"/>
        <w:ind w:right="-8"/>
        <w:jc w:val="both"/>
        <w:rPr>
          <w:color w:val="000000"/>
        </w:rPr>
      </w:pPr>
      <w:r w:rsidRPr="0080165F">
        <w:rPr>
          <w:color w:val="000000"/>
        </w:rPr>
        <w:t>INETOP, Secrétariat des masters</w:t>
      </w:r>
      <w:r>
        <w:rPr>
          <w:color w:val="000000"/>
        </w:rPr>
        <w:t xml:space="preserve"> métiers de l’orientation, </w:t>
      </w:r>
      <w:r w:rsidRPr="0080165F">
        <w:rPr>
          <w:color w:val="000000"/>
        </w:rPr>
        <w:t>41, rue Gay-Lussac 75005 Paris</w:t>
      </w:r>
    </w:p>
    <w:p w:rsidR="00E10233" w:rsidRDefault="00E10233" w:rsidP="0080165F">
      <w:pPr>
        <w:widowControl w:val="0"/>
        <w:tabs>
          <w:tab w:val="left" w:pos="567"/>
        </w:tabs>
        <w:autoSpaceDE w:val="0"/>
        <w:autoSpaceDN w:val="0"/>
        <w:adjustRightInd w:val="0"/>
        <w:spacing w:after="0"/>
        <w:ind w:right="-8"/>
        <w:jc w:val="both"/>
        <w:rPr>
          <w:color w:val="000000"/>
        </w:rPr>
      </w:pPr>
      <w:r>
        <w:rPr>
          <w:color w:val="000000"/>
        </w:rPr>
        <w:t>Bureau 19 C (1</w:t>
      </w:r>
      <w:r w:rsidRPr="00461388">
        <w:rPr>
          <w:color w:val="000000"/>
          <w:vertAlign w:val="superscript"/>
        </w:rPr>
        <w:t>er</w:t>
      </w:r>
      <w:r>
        <w:rPr>
          <w:color w:val="000000"/>
        </w:rPr>
        <w:t xml:space="preserve"> étage). Tel : 01 44 10 79 28</w:t>
      </w:r>
    </w:p>
    <w:p w:rsidR="00E10233" w:rsidRPr="0080165F" w:rsidRDefault="00E10233" w:rsidP="0080165F">
      <w:pPr>
        <w:widowControl w:val="0"/>
        <w:tabs>
          <w:tab w:val="left" w:pos="567"/>
        </w:tabs>
        <w:autoSpaceDE w:val="0"/>
        <w:autoSpaceDN w:val="0"/>
        <w:adjustRightInd w:val="0"/>
        <w:spacing w:after="0"/>
        <w:ind w:right="-8"/>
        <w:jc w:val="both"/>
        <w:rPr>
          <w:color w:val="000000"/>
        </w:rPr>
      </w:pPr>
      <w:r w:rsidRPr="0080165F">
        <w:rPr>
          <w:color w:val="000000"/>
        </w:rPr>
        <w:t xml:space="preserve">masters.inetop@cnam.fr </w:t>
      </w:r>
    </w:p>
    <w:p w:rsidR="00E10233" w:rsidRDefault="00E10233" w:rsidP="00CB6B22">
      <w:pPr>
        <w:spacing w:after="0"/>
        <w:jc w:val="both"/>
        <w:rPr>
          <w:b/>
          <w:sz w:val="28"/>
          <w:szCs w:val="28"/>
        </w:rPr>
      </w:pPr>
    </w:p>
    <w:p w:rsidR="00E10233" w:rsidRPr="009638A8" w:rsidRDefault="00E10233" w:rsidP="00CB6B22">
      <w:pPr>
        <w:spacing w:after="0"/>
        <w:jc w:val="both"/>
        <w:rPr>
          <w:i/>
          <w:sz w:val="28"/>
          <w:szCs w:val="28"/>
        </w:rPr>
      </w:pPr>
      <w:r w:rsidRPr="009638A8">
        <w:rPr>
          <w:b/>
          <w:sz w:val="28"/>
          <w:szCs w:val="28"/>
        </w:rPr>
        <w:t xml:space="preserve">Le Master </w:t>
      </w:r>
      <w:r w:rsidRPr="009638A8">
        <w:rPr>
          <w:b/>
          <w:i/>
          <w:sz w:val="28"/>
          <w:szCs w:val="28"/>
        </w:rPr>
        <w:t>Psychologie de l’orientation</w:t>
      </w:r>
      <w:r w:rsidRPr="009638A8">
        <w:rPr>
          <w:sz w:val="28"/>
          <w:szCs w:val="28"/>
        </w:rPr>
        <w:t> </w:t>
      </w:r>
      <w:r w:rsidRPr="009638A8">
        <w:rPr>
          <w:b/>
          <w:i/>
          <w:sz w:val="28"/>
          <w:szCs w:val="28"/>
        </w:rPr>
        <w:t>et du conseil</w:t>
      </w:r>
    </w:p>
    <w:p w:rsidR="00E10233" w:rsidRPr="00F37485" w:rsidRDefault="00E10233" w:rsidP="00CB6B22">
      <w:pPr>
        <w:tabs>
          <w:tab w:val="left" w:pos="567"/>
        </w:tabs>
        <w:spacing w:after="0"/>
        <w:jc w:val="both"/>
        <w:rPr>
          <w:b/>
          <w:bCs/>
        </w:rPr>
      </w:pPr>
      <w:r w:rsidRPr="00F37485">
        <w:rPr>
          <w:b/>
          <w:bCs/>
        </w:rPr>
        <w:t>A) Objectifs scientifiques et professionnels</w:t>
      </w:r>
    </w:p>
    <w:p w:rsidR="00E10233" w:rsidRPr="00F37485" w:rsidRDefault="00E10233" w:rsidP="00CB6B22">
      <w:pPr>
        <w:spacing w:after="0"/>
        <w:jc w:val="both"/>
      </w:pPr>
      <w:r w:rsidRPr="00F37485">
        <w:t xml:space="preserve">Former des psychologues praticiens de l’orientation </w:t>
      </w:r>
      <w:r>
        <w:t>aux différents âges de la vie</w:t>
      </w:r>
      <w:r w:rsidRPr="00F37485">
        <w:t xml:space="preserve">. L’objectif de la formation est l’acquisition des savoirs fondamentaux permettant une bonne compréhension des processus psychologiques, sociologiques et socio-économiques impliquées dans l’orientation. A l’issue de la formation, avoir acquis une bonne maîtrise de la relation de conseil, des méthodes d’évaluation et d’accompagnement, être capable de choisir avec pertinence les outils et méthodes adaptés aux situations et publics rencontrés, éventuellement de les améliorer, et d’être capable d’intégrer leur pratique dans le cadre éthique et déontologique des psychologues. </w:t>
      </w:r>
    </w:p>
    <w:p w:rsidR="00E10233" w:rsidRPr="00F37485" w:rsidRDefault="00E10233" w:rsidP="00CB6B22">
      <w:pPr>
        <w:spacing w:after="0"/>
        <w:jc w:val="both"/>
        <w:rPr>
          <w:b/>
        </w:rPr>
      </w:pPr>
    </w:p>
    <w:p w:rsidR="00E10233" w:rsidRPr="00F37485" w:rsidRDefault="00E10233" w:rsidP="00CB6B22">
      <w:pPr>
        <w:tabs>
          <w:tab w:val="left" w:pos="567"/>
        </w:tabs>
        <w:spacing w:after="0"/>
        <w:jc w:val="both"/>
        <w:rPr>
          <w:b/>
          <w:bCs/>
        </w:rPr>
      </w:pPr>
      <w:r w:rsidRPr="00F37485">
        <w:rPr>
          <w:b/>
          <w:bCs/>
        </w:rPr>
        <w:t xml:space="preserve">B) Débouchés </w:t>
      </w:r>
    </w:p>
    <w:p w:rsidR="00E10233" w:rsidRPr="00F37485" w:rsidRDefault="00E10233" w:rsidP="00CB6B22">
      <w:pPr>
        <w:pStyle w:val="Footer"/>
        <w:spacing w:line="276" w:lineRule="auto"/>
        <w:jc w:val="both"/>
        <w:rPr>
          <w:color w:val="000000"/>
          <w:sz w:val="24"/>
          <w:szCs w:val="24"/>
        </w:rPr>
      </w:pPr>
      <w:r w:rsidRPr="00F37485">
        <w:rPr>
          <w:color w:val="000000"/>
          <w:sz w:val="24"/>
          <w:szCs w:val="24"/>
        </w:rPr>
        <w:t>Psychologues spécialisés dans le</w:t>
      </w:r>
      <w:r>
        <w:rPr>
          <w:color w:val="000000"/>
          <w:sz w:val="24"/>
          <w:szCs w:val="24"/>
        </w:rPr>
        <w:t>s</w:t>
      </w:r>
      <w:r w:rsidRPr="00F37485">
        <w:rPr>
          <w:color w:val="000000"/>
          <w:sz w:val="24"/>
          <w:szCs w:val="24"/>
        </w:rPr>
        <w:t xml:space="preserve"> champ</w:t>
      </w:r>
      <w:r>
        <w:rPr>
          <w:color w:val="000000"/>
          <w:sz w:val="24"/>
          <w:szCs w:val="24"/>
        </w:rPr>
        <w:t>s</w:t>
      </w:r>
      <w:r w:rsidRPr="00F37485">
        <w:rPr>
          <w:color w:val="000000"/>
          <w:sz w:val="24"/>
          <w:szCs w:val="24"/>
        </w:rPr>
        <w:t xml:space="preserve"> du conseil en orientation</w:t>
      </w:r>
      <w:r>
        <w:rPr>
          <w:color w:val="000000"/>
          <w:sz w:val="24"/>
          <w:szCs w:val="24"/>
        </w:rPr>
        <w:t xml:space="preserve"> et des ressources humaines</w:t>
      </w:r>
      <w:r w:rsidRPr="00F37485">
        <w:rPr>
          <w:color w:val="000000"/>
          <w:sz w:val="24"/>
          <w:szCs w:val="24"/>
        </w:rPr>
        <w:t xml:space="preserve">, </w:t>
      </w:r>
      <w:r>
        <w:rPr>
          <w:color w:val="000000"/>
          <w:sz w:val="24"/>
          <w:szCs w:val="24"/>
        </w:rPr>
        <w:t>chargés de</w:t>
      </w:r>
      <w:r w:rsidRPr="00F37485">
        <w:rPr>
          <w:color w:val="000000"/>
          <w:sz w:val="24"/>
          <w:szCs w:val="24"/>
        </w:rPr>
        <w:t xml:space="preserve"> :</w:t>
      </w:r>
      <w:r>
        <w:rPr>
          <w:color w:val="000000"/>
          <w:sz w:val="24"/>
          <w:szCs w:val="24"/>
        </w:rPr>
        <w:t xml:space="preserve"> l’élaboration de projets personnels et professionnels, bilans de compétences, bilans de carrières, recrutement, accompagnement de mobilités et de reconversions, l’élaboration de parcours qualifiants et accompagnement VAE…</w:t>
      </w:r>
    </w:p>
    <w:p w:rsidR="00E10233" w:rsidRPr="00776323" w:rsidRDefault="00E10233" w:rsidP="00E57BFC">
      <w:pPr>
        <w:pStyle w:val="Footer"/>
        <w:spacing w:line="276" w:lineRule="auto"/>
        <w:jc w:val="both"/>
        <w:rPr>
          <w:sz w:val="24"/>
          <w:szCs w:val="24"/>
        </w:rPr>
      </w:pPr>
      <w:r w:rsidRPr="00776323">
        <w:rPr>
          <w:sz w:val="24"/>
          <w:szCs w:val="24"/>
        </w:rPr>
        <w:t>Les champs institutionnels concernés sont</w:t>
      </w:r>
      <w:r>
        <w:rPr>
          <w:sz w:val="24"/>
          <w:szCs w:val="24"/>
        </w:rPr>
        <w:t xml:space="preserve"> : </w:t>
      </w:r>
      <w:r w:rsidRPr="00776323">
        <w:rPr>
          <w:sz w:val="24"/>
          <w:szCs w:val="24"/>
        </w:rPr>
        <w:t xml:space="preserve">les </w:t>
      </w:r>
      <w:r>
        <w:rPr>
          <w:sz w:val="24"/>
          <w:szCs w:val="24"/>
        </w:rPr>
        <w:t>centres de bilan, le service public, l’entreprise, les cabinets de conseil, les associations…</w:t>
      </w:r>
      <w:bookmarkStart w:id="0" w:name="_GoBack"/>
      <w:bookmarkEnd w:id="0"/>
    </w:p>
    <w:p w:rsidR="00E10233" w:rsidRDefault="00E10233" w:rsidP="00CB6B22">
      <w:pPr>
        <w:widowControl w:val="0"/>
        <w:tabs>
          <w:tab w:val="left" w:pos="567"/>
        </w:tabs>
        <w:autoSpaceDE w:val="0"/>
        <w:autoSpaceDN w:val="0"/>
        <w:adjustRightInd w:val="0"/>
        <w:spacing w:after="0"/>
        <w:ind w:right="-8"/>
        <w:jc w:val="both"/>
        <w:rPr>
          <w:b/>
          <w:color w:val="000000"/>
        </w:rPr>
      </w:pPr>
    </w:p>
    <w:p w:rsidR="00E10233" w:rsidRDefault="00E10233" w:rsidP="00CB6B22">
      <w:pPr>
        <w:widowControl w:val="0"/>
        <w:tabs>
          <w:tab w:val="left" w:pos="567"/>
        </w:tabs>
        <w:autoSpaceDE w:val="0"/>
        <w:autoSpaceDN w:val="0"/>
        <w:adjustRightInd w:val="0"/>
        <w:spacing w:after="0"/>
        <w:ind w:right="-8"/>
        <w:jc w:val="both"/>
        <w:rPr>
          <w:b/>
          <w:color w:val="000000"/>
        </w:rPr>
      </w:pPr>
      <w:r>
        <w:rPr>
          <w:b/>
          <w:color w:val="000000"/>
        </w:rPr>
        <w:t>C) Inscription</w:t>
      </w:r>
    </w:p>
    <w:p w:rsidR="00E10233" w:rsidRPr="00217048" w:rsidRDefault="00E10233" w:rsidP="00CB6B22">
      <w:pPr>
        <w:widowControl w:val="0"/>
        <w:tabs>
          <w:tab w:val="left" w:pos="567"/>
        </w:tabs>
        <w:autoSpaceDE w:val="0"/>
        <w:autoSpaceDN w:val="0"/>
        <w:adjustRightInd w:val="0"/>
        <w:spacing w:after="0"/>
        <w:ind w:right="-8"/>
        <w:jc w:val="both"/>
      </w:pPr>
      <w:r w:rsidRPr="00F37485">
        <w:rPr>
          <w:color w:val="000000"/>
        </w:rPr>
        <w:t>Dossiers de candidature</w:t>
      </w:r>
      <w:r>
        <w:rPr>
          <w:color w:val="000000"/>
        </w:rPr>
        <w:t xml:space="preserve"> disponibles auprès du secrétariat des masters (masters.inetop @cnam.fr) et également en ligne sur le site de l’INETOP </w:t>
      </w:r>
      <w:hyperlink r:id="rId8" w:history="1">
        <w:r w:rsidRPr="00217048">
          <w:rPr>
            <w:rStyle w:val="Hyperlink"/>
            <w:color w:val="auto"/>
          </w:rPr>
          <w:t>http://inetop.cnam.fr/</w:t>
        </w:r>
      </w:hyperlink>
    </w:p>
    <w:p w:rsidR="00E10233" w:rsidRDefault="00E10233" w:rsidP="00CB6B22">
      <w:pPr>
        <w:widowControl w:val="0"/>
        <w:tabs>
          <w:tab w:val="left" w:pos="567"/>
        </w:tabs>
        <w:autoSpaceDE w:val="0"/>
        <w:autoSpaceDN w:val="0"/>
        <w:adjustRightInd w:val="0"/>
        <w:spacing w:after="0"/>
        <w:ind w:right="-8"/>
        <w:jc w:val="both"/>
      </w:pPr>
      <w:r>
        <w:t>Inscription aux unités d’enseignement capitalisables.</w:t>
      </w:r>
    </w:p>
    <w:p w:rsidR="00E10233" w:rsidRDefault="00E10233" w:rsidP="00CB6B22">
      <w:pPr>
        <w:widowControl w:val="0"/>
        <w:tabs>
          <w:tab w:val="left" w:pos="567"/>
        </w:tabs>
        <w:autoSpaceDE w:val="0"/>
        <w:autoSpaceDN w:val="0"/>
        <w:adjustRightInd w:val="0"/>
        <w:spacing w:after="0"/>
        <w:ind w:right="-8"/>
        <w:jc w:val="both"/>
      </w:pPr>
      <w:r w:rsidRPr="00CB6B22">
        <w:t>Accès en Master 1</w:t>
      </w:r>
      <w:r>
        <w:t> : de plein droit pour les titulaires d’une licence de psychologie. Déposer un dossier avant le 31 septembre 2014 au secrétariat des masters.</w:t>
      </w:r>
    </w:p>
    <w:p w:rsidR="00E10233" w:rsidRPr="009638A8" w:rsidRDefault="00E10233" w:rsidP="006D2141">
      <w:pPr>
        <w:widowControl w:val="0"/>
        <w:tabs>
          <w:tab w:val="left" w:pos="567"/>
        </w:tabs>
        <w:autoSpaceDE w:val="0"/>
        <w:autoSpaceDN w:val="0"/>
        <w:adjustRightInd w:val="0"/>
        <w:spacing w:after="0"/>
        <w:ind w:right="-8"/>
        <w:jc w:val="both"/>
        <w:rPr>
          <w:color w:val="FF0000"/>
        </w:rPr>
      </w:pPr>
      <w:r>
        <w:t xml:space="preserve">Début des enseignements de M1 : mi-octobre. </w:t>
      </w:r>
    </w:p>
    <w:p w:rsidR="00E10233" w:rsidRDefault="00E10233" w:rsidP="00CB6B22">
      <w:pPr>
        <w:widowControl w:val="0"/>
        <w:tabs>
          <w:tab w:val="left" w:pos="567"/>
        </w:tabs>
        <w:autoSpaceDE w:val="0"/>
        <w:autoSpaceDN w:val="0"/>
        <w:adjustRightInd w:val="0"/>
        <w:spacing w:after="0"/>
        <w:ind w:right="-8"/>
        <w:jc w:val="both"/>
      </w:pPr>
      <w:r>
        <w:t>Accès en Master 2 Professionnel : sélection sur dossier, épreuve écrite et entretien.</w:t>
      </w:r>
    </w:p>
    <w:p w:rsidR="00E10233" w:rsidRPr="00D53BEC" w:rsidRDefault="00E10233" w:rsidP="0080165F">
      <w:pPr>
        <w:pStyle w:val="ListParagraph"/>
        <w:widowControl w:val="0"/>
        <w:numPr>
          <w:ilvl w:val="0"/>
          <w:numId w:val="2"/>
        </w:numPr>
        <w:autoSpaceDE w:val="0"/>
        <w:autoSpaceDN w:val="0"/>
        <w:adjustRightInd w:val="0"/>
        <w:spacing w:after="0" w:line="240" w:lineRule="auto"/>
        <w:jc w:val="both"/>
      </w:pPr>
      <w:r w:rsidRPr="00D53BEC">
        <w:t>Session 1 : dépôt des dossiers avant le 1</w:t>
      </w:r>
      <w:r>
        <w:t>6</w:t>
      </w:r>
      <w:r w:rsidRPr="00D53BEC">
        <w:t xml:space="preserve"> juin auprès du secrétariat du Master</w:t>
      </w:r>
    </w:p>
    <w:p w:rsidR="00E10233" w:rsidRDefault="00E10233" w:rsidP="0080165F">
      <w:pPr>
        <w:widowControl w:val="0"/>
        <w:autoSpaceDE w:val="0"/>
        <w:autoSpaceDN w:val="0"/>
        <w:adjustRightInd w:val="0"/>
        <w:spacing w:after="0"/>
      </w:pPr>
      <w:r>
        <w:t xml:space="preserve">                Epreuve écrite le 2  juillet 10h à 11h ; entretiens les 2 et 3 juillet</w:t>
      </w:r>
    </w:p>
    <w:p w:rsidR="00E10233" w:rsidRPr="00D53BEC" w:rsidRDefault="00E10233" w:rsidP="0080165F">
      <w:pPr>
        <w:pStyle w:val="ListParagraph"/>
        <w:widowControl w:val="0"/>
        <w:numPr>
          <w:ilvl w:val="0"/>
          <w:numId w:val="2"/>
        </w:numPr>
        <w:autoSpaceDE w:val="0"/>
        <w:autoSpaceDN w:val="0"/>
        <w:adjustRightInd w:val="0"/>
        <w:spacing w:after="0" w:line="240" w:lineRule="auto"/>
        <w:jc w:val="both"/>
      </w:pPr>
      <w:r w:rsidRPr="00D53BEC">
        <w:t xml:space="preserve">Session </w:t>
      </w:r>
      <w:r>
        <w:t>2</w:t>
      </w:r>
      <w:r w:rsidRPr="00D53BEC">
        <w:t xml:space="preserve"> : dépôt des dossiers avant le </w:t>
      </w:r>
      <w:r>
        <w:t>5 septembre</w:t>
      </w:r>
      <w:r w:rsidRPr="00D53BEC">
        <w:t xml:space="preserve"> auprès du secrétariat du Master</w:t>
      </w:r>
    </w:p>
    <w:p w:rsidR="00E10233" w:rsidRDefault="00E10233" w:rsidP="0080165F">
      <w:pPr>
        <w:widowControl w:val="0"/>
        <w:autoSpaceDE w:val="0"/>
        <w:autoSpaceDN w:val="0"/>
        <w:adjustRightInd w:val="0"/>
        <w:spacing w:after="0"/>
      </w:pPr>
      <w:r>
        <w:t xml:space="preserve">   </w:t>
      </w:r>
      <w:r w:rsidRPr="00D53BEC">
        <w:t xml:space="preserve">Epreuve écrite le </w:t>
      </w:r>
      <w:r>
        <w:t>17 septembre</w:t>
      </w:r>
      <w:r w:rsidRPr="00D53BEC">
        <w:t xml:space="preserve"> 10h à 11h ; entretiens les </w:t>
      </w:r>
      <w:r>
        <w:t>17</w:t>
      </w:r>
      <w:r w:rsidRPr="00D53BEC">
        <w:t xml:space="preserve"> et </w:t>
      </w:r>
      <w:r>
        <w:t>18 septembre</w:t>
      </w:r>
    </w:p>
    <w:p w:rsidR="00E10233" w:rsidRPr="00D53BEC" w:rsidRDefault="00E10233" w:rsidP="0080165F">
      <w:pPr>
        <w:pStyle w:val="ListParagraph"/>
        <w:widowControl w:val="0"/>
        <w:numPr>
          <w:ilvl w:val="0"/>
          <w:numId w:val="2"/>
        </w:numPr>
        <w:autoSpaceDE w:val="0"/>
        <w:autoSpaceDN w:val="0"/>
        <w:adjustRightInd w:val="0"/>
        <w:spacing w:after="0" w:line="240" w:lineRule="auto"/>
        <w:jc w:val="both"/>
      </w:pPr>
      <w:r w:rsidRPr="00D53BEC">
        <w:t xml:space="preserve">Session </w:t>
      </w:r>
      <w:r>
        <w:t>3 (si nécessaire après le forum CNAM)</w:t>
      </w:r>
      <w:r w:rsidRPr="00D53BEC">
        <w:t xml:space="preserve"> : dépôt des dossiers avant le </w:t>
      </w:r>
      <w:r>
        <w:t>29 septembre</w:t>
      </w:r>
      <w:r w:rsidRPr="00D53BEC">
        <w:t xml:space="preserve"> auprès du secrétariat du Master</w:t>
      </w:r>
    </w:p>
    <w:p w:rsidR="00E10233" w:rsidRDefault="00E10233" w:rsidP="0080165F">
      <w:pPr>
        <w:pStyle w:val="ListParagraph"/>
        <w:widowControl w:val="0"/>
        <w:autoSpaceDE w:val="0"/>
        <w:autoSpaceDN w:val="0"/>
        <w:adjustRightInd w:val="0"/>
        <w:spacing w:after="0"/>
      </w:pPr>
      <w:r>
        <w:t xml:space="preserve">    Epreuve écrite le 2 octobre 10h à 11h ; entretiens le 2 octobre</w:t>
      </w:r>
    </w:p>
    <w:p w:rsidR="00E10233" w:rsidRDefault="00E10233" w:rsidP="0080165F">
      <w:pPr>
        <w:widowControl w:val="0"/>
        <w:autoSpaceDE w:val="0"/>
        <w:autoSpaceDN w:val="0"/>
        <w:adjustRightInd w:val="0"/>
        <w:spacing w:after="0" w:line="240" w:lineRule="auto"/>
        <w:jc w:val="both"/>
      </w:pPr>
      <w:r>
        <w:t>Rentrée Master 2 Professionnel prévue le mercredi 8 octobre à 10h.</w:t>
      </w:r>
    </w:p>
    <w:p w:rsidR="00E10233" w:rsidRDefault="00E10233" w:rsidP="00CB6B22">
      <w:pPr>
        <w:widowControl w:val="0"/>
        <w:tabs>
          <w:tab w:val="left" w:pos="567"/>
        </w:tabs>
        <w:autoSpaceDE w:val="0"/>
        <w:autoSpaceDN w:val="0"/>
        <w:adjustRightInd w:val="0"/>
        <w:spacing w:after="0"/>
        <w:ind w:right="-8"/>
        <w:jc w:val="both"/>
      </w:pPr>
    </w:p>
    <w:p w:rsidR="00E10233" w:rsidRPr="009638A8" w:rsidRDefault="00E10233" w:rsidP="00CB6B22">
      <w:pPr>
        <w:widowControl w:val="0"/>
        <w:tabs>
          <w:tab w:val="left" w:pos="567"/>
        </w:tabs>
        <w:autoSpaceDE w:val="0"/>
        <w:autoSpaceDN w:val="0"/>
        <w:adjustRightInd w:val="0"/>
        <w:spacing w:after="0"/>
        <w:ind w:right="-8"/>
        <w:jc w:val="both"/>
        <w:rPr>
          <w:sz w:val="28"/>
          <w:szCs w:val="28"/>
        </w:rPr>
      </w:pPr>
      <w:r w:rsidRPr="009638A8">
        <w:rPr>
          <w:b/>
          <w:sz w:val="28"/>
          <w:szCs w:val="28"/>
        </w:rPr>
        <w:t xml:space="preserve">Le Master </w:t>
      </w:r>
      <w:r w:rsidRPr="009638A8">
        <w:rPr>
          <w:b/>
          <w:i/>
          <w:sz w:val="28"/>
          <w:szCs w:val="28"/>
        </w:rPr>
        <w:t>Conseil en orientation, bilan et insertion</w:t>
      </w:r>
      <w:r w:rsidRPr="009638A8">
        <w:rPr>
          <w:sz w:val="28"/>
          <w:szCs w:val="28"/>
        </w:rPr>
        <w:t> (COBI)</w:t>
      </w:r>
    </w:p>
    <w:p w:rsidR="00E10233" w:rsidRPr="00F37485" w:rsidRDefault="00E10233" w:rsidP="009638A8">
      <w:pPr>
        <w:tabs>
          <w:tab w:val="left" w:pos="567"/>
        </w:tabs>
        <w:spacing w:after="0"/>
        <w:jc w:val="both"/>
        <w:rPr>
          <w:b/>
          <w:bCs/>
        </w:rPr>
      </w:pPr>
      <w:r w:rsidRPr="00F37485">
        <w:rPr>
          <w:b/>
          <w:bCs/>
        </w:rPr>
        <w:t>A) Objectifs scientifiques et professionnels</w:t>
      </w:r>
    </w:p>
    <w:p w:rsidR="00E10233" w:rsidRDefault="00E10233" w:rsidP="009638A8">
      <w:pPr>
        <w:widowControl w:val="0"/>
        <w:autoSpaceDE w:val="0"/>
        <w:autoSpaceDN w:val="0"/>
        <w:adjustRightInd w:val="0"/>
        <w:spacing w:after="0"/>
        <w:rPr>
          <w:rFonts w:ascii="TimesNewRomanPSMT" w:hAnsi="TimesNewRomanPSMT" w:cs="TimesNewRomanPSMT"/>
        </w:rPr>
      </w:pPr>
      <w:r>
        <w:rPr>
          <w:rFonts w:ascii="TimesNewRomanPSMT" w:hAnsi="TimesNewRomanPSMT" w:cs="TimesNewRomanPSMT"/>
        </w:rPr>
        <w:t>- Consolider et élargir la culture professionnelle des institutions, des théories et des techniques de travail déjà acquises par les participants dans leurs années d'exercice professionnel, pour situer son intervention dans les modalités actuelles de la relation entre emploi et formation (offre de certification, modalités de recrutement des entreprises, technique de bilans de compétences, validation des acquis...).</w:t>
      </w:r>
    </w:p>
    <w:p w:rsidR="00E10233" w:rsidRDefault="00E10233" w:rsidP="009638A8">
      <w:pPr>
        <w:widowControl w:val="0"/>
        <w:autoSpaceDE w:val="0"/>
        <w:autoSpaceDN w:val="0"/>
        <w:adjustRightInd w:val="0"/>
        <w:spacing w:after="0"/>
        <w:rPr>
          <w:rFonts w:ascii="TimesNewRomanPSMT" w:hAnsi="TimesNewRomanPSMT" w:cs="TimesNewRomanPSMT"/>
        </w:rPr>
      </w:pPr>
      <w:r>
        <w:rPr>
          <w:rFonts w:ascii="TimesNewRomanPSMT" w:hAnsi="TimesNewRomanPSMT" w:cs="TimesNewRomanPSMT"/>
        </w:rPr>
        <w:t>- Disposer de techniques relatives à l'entretien individuel et au travail avec des groupes sur des problématiques d'orientation des jeunes adultes et des adultes.</w:t>
      </w:r>
    </w:p>
    <w:p w:rsidR="00E10233" w:rsidRDefault="00E10233" w:rsidP="009638A8">
      <w:pPr>
        <w:widowControl w:val="0"/>
        <w:autoSpaceDE w:val="0"/>
        <w:autoSpaceDN w:val="0"/>
        <w:adjustRightInd w:val="0"/>
        <w:spacing w:after="0"/>
        <w:rPr>
          <w:rFonts w:ascii="TimesNewRomanPSMT" w:hAnsi="TimesNewRomanPSMT" w:cs="TimesNewRomanPSMT"/>
        </w:rPr>
      </w:pPr>
      <w:r>
        <w:rPr>
          <w:rFonts w:ascii="TimesNewRomanPSMT" w:hAnsi="TimesNewRomanPSMT" w:cs="TimesNewRomanPSMT"/>
        </w:rPr>
        <w:t xml:space="preserve">- Evaluer les possibilités et les limites d'une action d'orientation ou d'une technique avec des individus ou des groupes, pour veiller à la dimension éthique de son action, faire des choix de méthode pertinents, proposer des améliorations des techniques et des dispositifs. </w:t>
      </w:r>
    </w:p>
    <w:p w:rsidR="00E10233" w:rsidRPr="009638A8" w:rsidRDefault="00E10233" w:rsidP="009638A8">
      <w:pPr>
        <w:widowControl w:val="0"/>
        <w:autoSpaceDE w:val="0"/>
        <w:autoSpaceDN w:val="0"/>
        <w:adjustRightInd w:val="0"/>
        <w:spacing w:after="0"/>
        <w:rPr>
          <w:b/>
          <w:bCs/>
        </w:rPr>
      </w:pPr>
      <w:r w:rsidRPr="009638A8">
        <w:t xml:space="preserve">Ces objectifs doivent permettre d'exercer des </w:t>
      </w:r>
      <w:r w:rsidRPr="009638A8">
        <w:rPr>
          <w:b/>
          <w:bCs/>
        </w:rPr>
        <w:t>fonctions de conseiller</w:t>
      </w:r>
      <w:r w:rsidRPr="009638A8">
        <w:t xml:space="preserve">, d'évoluer vers des fonctions de </w:t>
      </w:r>
      <w:r w:rsidRPr="009638A8">
        <w:rPr>
          <w:b/>
          <w:bCs/>
        </w:rPr>
        <w:t>coordination de dispositif</w:t>
      </w:r>
      <w:r w:rsidRPr="009638A8">
        <w:t xml:space="preserve">, de responsable d'équipe ou de service dans les institutions du domaine, de réaliser des actions </w:t>
      </w:r>
      <w:r w:rsidRPr="009638A8">
        <w:rPr>
          <w:b/>
          <w:bCs/>
        </w:rPr>
        <w:t>d'expertise</w:t>
      </w:r>
      <w:r w:rsidRPr="009638A8">
        <w:t xml:space="preserve"> d'outils et de dispositifs.</w:t>
      </w:r>
    </w:p>
    <w:p w:rsidR="00E10233" w:rsidRPr="009638A8" w:rsidRDefault="00E10233" w:rsidP="009638A8">
      <w:pPr>
        <w:widowControl w:val="0"/>
        <w:tabs>
          <w:tab w:val="left" w:pos="567"/>
        </w:tabs>
        <w:autoSpaceDE w:val="0"/>
        <w:autoSpaceDN w:val="0"/>
        <w:adjustRightInd w:val="0"/>
        <w:spacing w:after="0"/>
        <w:ind w:right="-8"/>
        <w:jc w:val="both"/>
        <w:rPr>
          <w:b/>
          <w:bCs/>
        </w:rPr>
      </w:pPr>
    </w:p>
    <w:p w:rsidR="00E10233" w:rsidRPr="00F37485" w:rsidRDefault="00E10233" w:rsidP="009638A8">
      <w:pPr>
        <w:tabs>
          <w:tab w:val="left" w:pos="567"/>
        </w:tabs>
        <w:spacing w:after="0"/>
        <w:jc w:val="both"/>
        <w:rPr>
          <w:b/>
          <w:bCs/>
        </w:rPr>
      </w:pPr>
      <w:r w:rsidRPr="00F37485">
        <w:rPr>
          <w:b/>
          <w:bCs/>
        </w:rPr>
        <w:t xml:space="preserve">B) Débouchés </w:t>
      </w:r>
    </w:p>
    <w:p w:rsidR="00E10233" w:rsidRPr="009638A8" w:rsidRDefault="00E10233" w:rsidP="009638A8">
      <w:pPr>
        <w:widowControl w:val="0"/>
        <w:tabs>
          <w:tab w:val="left" w:pos="567"/>
        </w:tabs>
        <w:autoSpaceDE w:val="0"/>
        <w:autoSpaceDN w:val="0"/>
        <w:adjustRightInd w:val="0"/>
        <w:spacing w:after="0"/>
        <w:ind w:right="-8"/>
        <w:jc w:val="both"/>
      </w:pPr>
      <w:r w:rsidRPr="009638A8">
        <w:t>La formation est prioritairement ouverte à des professionnels qui sont déjà insérés dans les emplois du domaine :</w:t>
      </w:r>
    </w:p>
    <w:p w:rsidR="00E10233" w:rsidRPr="009638A8" w:rsidRDefault="00E10233" w:rsidP="009638A8">
      <w:pPr>
        <w:widowControl w:val="0"/>
        <w:tabs>
          <w:tab w:val="left" w:pos="567"/>
        </w:tabs>
        <w:autoSpaceDE w:val="0"/>
        <w:autoSpaceDN w:val="0"/>
        <w:adjustRightInd w:val="0"/>
        <w:spacing w:after="0"/>
        <w:ind w:right="-8"/>
        <w:jc w:val="both"/>
      </w:pPr>
      <w:r w:rsidRPr="009638A8">
        <w:t xml:space="preserve">- les organismes d'insertion et d'orientation pour les jeunes adultes : points informations jeunesse, missions locales, </w:t>
      </w:r>
    </w:p>
    <w:p w:rsidR="00E10233" w:rsidRPr="009638A8" w:rsidRDefault="00E10233" w:rsidP="009638A8">
      <w:pPr>
        <w:widowControl w:val="0"/>
        <w:tabs>
          <w:tab w:val="left" w:pos="567"/>
        </w:tabs>
        <w:autoSpaceDE w:val="0"/>
        <w:autoSpaceDN w:val="0"/>
        <w:adjustRightInd w:val="0"/>
        <w:spacing w:after="0"/>
        <w:ind w:right="-8"/>
        <w:jc w:val="both"/>
      </w:pPr>
      <w:r w:rsidRPr="009638A8">
        <w:t>- les institutions impliqués dans les reconversions professionnelles à l'âge adulte :  Centre de bilans de compétences, Chambres de commerce et d'industrie, Association pour l'Emploi des Cadres, chambres des métiers, OPCA et  Fonds de gestion  (CIF...), les services chargés de mise en œuvre de la VAE, les centres d'information (sur la formation ; sur les droits des femmes... )</w:t>
      </w:r>
    </w:p>
    <w:p w:rsidR="00E10233" w:rsidRPr="009638A8" w:rsidRDefault="00E10233" w:rsidP="009638A8">
      <w:pPr>
        <w:widowControl w:val="0"/>
        <w:tabs>
          <w:tab w:val="left" w:pos="567"/>
        </w:tabs>
        <w:autoSpaceDE w:val="0"/>
        <w:autoSpaceDN w:val="0"/>
        <w:adjustRightInd w:val="0"/>
        <w:spacing w:after="0"/>
        <w:ind w:right="-8"/>
        <w:jc w:val="both"/>
      </w:pPr>
      <w:r w:rsidRPr="009638A8">
        <w:t>- les organismes de formation qui doivent de plus en plus répondre à l'individualisation des parcours.</w:t>
      </w:r>
    </w:p>
    <w:p w:rsidR="00E10233" w:rsidRPr="009638A8" w:rsidRDefault="00E10233" w:rsidP="009638A8">
      <w:pPr>
        <w:widowControl w:val="0"/>
        <w:tabs>
          <w:tab w:val="left" w:pos="567"/>
        </w:tabs>
        <w:autoSpaceDE w:val="0"/>
        <w:autoSpaceDN w:val="0"/>
        <w:adjustRightInd w:val="0"/>
        <w:spacing w:after="0"/>
        <w:ind w:right="-8"/>
        <w:jc w:val="both"/>
        <w:rPr>
          <w:b/>
          <w:bCs/>
        </w:rPr>
      </w:pPr>
      <w:r w:rsidRPr="009638A8">
        <w:t>- les services et cabinets de ressources humaines.</w:t>
      </w:r>
    </w:p>
    <w:p w:rsidR="00E10233" w:rsidRDefault="00E10233" w:rsidP="00CB6B22">
      <w:pPr>
        <w:widowControl w:val="0"/>
        <w:tabs>
          <w:tab w:val="left" w:pos="567"/>
        </w:tabs>
        <w:autoSpaceDE w:val="0"/>
        <w:autoSpaceDN w:val="0"/>
        <w:adjustRightInd w:val="0"/>
        <w:spacing w:after="0"/>
        <w:ind w:right="-8"/>
        <w:jc w:val="both"/>
      </w:pPr>
    </w:p>
    <w:p w:rsidR="00E10233" w:rsidRDefault="00E10233" w:rsidP="009638A8">
      <w:pPr>
        <w:widowControl w:val="0"/>
        <w:tabs>
          <w:tab w:val="left" w:pos="567"/>
        </w:tabs>
        <w:autoSpaceDE w:val="0"/>
        <w:autoSpaceDN w:val="0"/>
        <w:adjustRightInd w:val="0"/>
        <w:spacing w:after="0"/>
        <w:ind w:right="-8"/>
        <w:jc w:val="both"/>
        <w:rPr>
          <w:b/>
          <w:color w:val="000000"/>
        </w:rPr>
      </w:pPr>
      <w:r>
        <w:rPr>
          <w:b/>
          <w:color w:val="000000"/>
        </w:rPr>
        <w:t>C) Inscription</w:t>
      </w:r>
    </w:p>
    <w:p w:rsidR="00E10233" w:rsidRDefault="00E10233" w:rsidP="009638A8">
      <w:pPr>
        <w:widowControl w:val="0"/>
        <w:tabs>
          <w:tab w:val="left" w:pos="567"/>
        </w:tabs>
        <w:autoSpaceDE w:val="0"/>
        <w:autoSpaceDN w:val="0"/>
        <w:adjustRightInd w:val="0"/>
        <w:spacing w:after="0"/>
        <w:ind w:right="-8"/>
        <w:jc w:val="both"/>
        <w:rPr>
          <w:color w:val="FF0000"/>
        </w:rPr>
      </w:pPr>
      <w:r w:rsidRPr="00F37485">
        <w:rPr>
          <w:color w:val="000000"/>
        </w:rPr>
        <w:t>Dossiers de candidature</w:t>
      </w:r>
      <w:r>
        <w:rPr>
          <w:color w:val="000000"/>
        </w:rPr>
        <w:t xml:space="preserve"> disponibles auprès du secrétariat des masters (masters.inetop @cnam.fr) et également en ligne sur le site de l’INETOP </w:t>
      </w:r>
      <w:hyperlink r:id="rId9" w:history="1">
        <w:r w:rsidRPr="00217048">
          <w:rPr>
            <w:rStyle w:val="Hyperlink"/>
            <w:color w:val="auto"/>
          </w:rPr>
          <w:t>http://inetop.cnam.fr/</w:t>
        </w:r>
      </w:hyperlink>
    </w:p>
    <w:p w:rsidR="00E10233" w:rsidRDefault="00E10233" w:rsidP="008D0087">
      <w:pPr>
        <w:widowControl w:val="0"/>
        <w:tabs>
          <w:tab w:val="left" w:pos="567"/>
        </w:tabs>
        <w:autoSpaceDE w:val="0"/>
        <w:autoSpaceDN w:val="0"/>
        <w:adjustRightInd w:val="0"/>
        <w:spacing w:after="0"/>
        <w:ind w:right="-8"/>
        <w:jc w:val="both"/>
      </w:pPr>
      <w:r>
        <w:t>Inscription aux unités d’enseignement capitalisables.</w:t>
      </w:r>
    </w:p>
    <w:p w:rsidR="00E10233" w:rsidRPr="009638A8" w:rsidRDefault="00E10233" w:rsidP="009638A8">
      <w:pPr>
        <w:widowControl w:val="0"/>
        <w:tabs>
          <w:tab w:val="left" w:pos="567"/>
        </w:tabs>
        <w:autoSpaceDE w:val="0"/>
        <w:autoSpaceDN w:val="0"/>
        <w:adjustRightInd w:val="0"/>
        <w:spacing w:after="0"/>
        <w:ind w:right="-8"/>
        <w:jc w:val="both"/>
        <w:rPr>
          <w:color w:val="FF0000"/>
        </w:rPr>
      </w:pPr>
      <w:r w:rsidRPr="00CB6B22">
        <w:t>Accès en Master 1</w:t>
      </w:r>
      <w:r>
        <w:t> </w:t>
      </w:r>
      <w:r>
        <w:rPr>
          <w:i/>
        </w:rPr>
        <w:t>COBI</w:t>
      </w:r>
      <w:r>
        <w:t xml:space="preserve">: de plein droit pour les titulaires d’une licence (toutes spécialités). Déposer un dossier avant le 31 septembre 2014 au secrétariat des masters. Début des enseignements de M1 : mi-octobre. </w:t>
      </w:r>
    </w:p>
    <w:p w:rsidR="00E10233" w:rsidRPr="00D53BEC" w:rsidRDefault="00E10233" w:rsidP="009638A8">
      <w:pPr>
        <w:widowControl w:val="0"/>
        <w:tabs>
          <w:tab w:val="left" w:pos="567"/>
        </w:tabs>
        <w:autoSpaceDE w:val="0"/>
        <w:autoSpaceDN w:val="0"/>
        <w:adjustRightInd w:val="0"/>
        <w:spacing w:after="0"/>
        <w:ind w:right="-8"/>
        <w:jc w:val="both"/>
      </w:pPr>
      <w:r>
        <w:t>Accès en Master 2 </w:t>
      </w:r>
      <w:r>
        <w:rPr>
          <w:i/>
        </w:rPr>
        <w:t>COBI</w:t>
      </w:r>
      <w:r>
        <w:t xml:space="preserve">: de plein droit pour les étudiants ayant validé de M1 COBI. Examen du dossier pour les autres candidats. Déposer </w:t>
      </w:r>
      <w:r w:rsidRPr="00D53BEC">
        <w:t>des dossiers avant le 1</w:t>
      </w:r>
      <w:r>
        <w:t>5 septembre </w:t>
      </w:r>
      <w:r w:rsidRPr="00D53BEC">
        <w:t>auprès du secrétariat du Master</w:t>
      </w:r>
      <w:r>
        <w:t xml:space="preserve">. </w:t>
      </w:r>
    </w:p>
    <w:p w:rsidR="00E10233" w:rsidRDefault="00E10233" w:rsidP="00CB6B22">
      <w:pPr>
        <w:widowControl w:val="0"/>
        <w:tabs>
          <w:tab w:val="left" w:pos="567"/>
        </w:tabs>
        <w:autoSpaceDE w:val="0"/>
        <w:autoSpaceDN w:val="0"/>
        <w:adjustRightInd w:val="0"/>
        <w:spacing w:after="0"/>
        <w:ind w:right="-8"/>
        <w:jc w:val="both"/>
      </w:pPr>
    </w:p>
    <w:p w:rsidR="00E10233" w:rsidRDefault="00E10233" w:rsidP="00CB6B22">
      <w:pPr>
        <w:widowControl w:val="0"/>
        <w:tabs>
          <w:tab w:val="left" w:pos="567"/>
        </w:tabs>
        <w:autoSpaceDE w:val="0"/>
        <w:autoSpaceDN w:val="0"/>
        <w:adjustRightInd w:val="0"/>
        <w:spacing w:after="0"/>
        <w:ind w:right="-8"/>
        <w:jc w:val="both"/>
      </w:pPr>
      <w:r>
        <w:t>ANNEXE : descriptif des formations</w:t>
      </w:r>
    </w:p>
    <w:tbl>
      <w:tblPr>
        <w:tblW w:w="9232" w:type="dxa"/>
        <w:tblInd w:w="52" w:type="dxa"/>
        <w:tblCellMar>
          <w:left w:w="70" w:type="dxa"/>
          <w:right w:w="70" w:type="dxa"/>
        </w:tblCellMar>
        <w:tblLook w:val="0000"/>
      </w:tblPr>
      <w:tblGrid>
        <w:gridCol w:w="6822"/>
        <w:gridCol w:w="2410"/>
      </w:tblGrid>
      <w:tr w:rsidR="00E10233" w:rsidRPr="00BA2B8C">
        <w:trPr>
          <w:trHeight w:val="532"/>
        </w:trPr>
        <w:tc>
          <w:tcPr>
            <w:tcW w:w="6822" w:type="dxa"/>
            <w:tcBorders>
              <w:top w:val="single" w:sz="8" w:space="0" w:color="auto"/>
              <w:left w:val="single" w:sz="8" w:space="0" w:color="auto"/>
              <w:bottom w:val="single" w:sz="8" w:space="0" w:color="auto"/>
              <w:right w:val="single" w:sz="8" w:space="0" w:color="auto"/>
            </w:tcBorders>
            <w:shd w:val="clear" w:color="auto" w:fill="808080"/>
          </w:tcPr>
          <w:p w:rsidR="00E10233" w:rsidRPr="00BA2B8C" w:rsidRDefault="00E10233" w:rsidP="00702957">
            <w:pPr>
              <w:jc w:val="both"/>
              <w:rPr>
                <w:rFonts w:ascii="Calibri" w:hAnsi="Calibri" w:cs="Arial"/>
                <w:b/>
                <w:bCs/>
                <w:color w:val="FFFFFF"/>
              </w:rPr>
            </w:pPr>
            <w:r w:rsidRPr="00BA2B8C">
              <w:rPr>
                <w:rFonts w:ascii="Calibri" w:hAnsi="Calibri" w:cs="Arial"/>
                <w:b/>
                <w:bCs/>
                <w:color w:val="FFFFFF"/>
              </w:rPr>
              <w:t>M1 -  « Psychologie du travail et de l’orientation »- Semestre 1 et 2</w:t>
            </w:r>
          </w:p>
        </w:tc>
        <w:tc>
          <w:tcPr>
            <w:tcW w:w="2410" w:type="dxa"/>
            <w:tcBorders>
              <w:top w:val="single" w:sz="8" w:space="0" w:color="auto"/>
              <w:left w:val="nil"/>
              <w:bottom w:val="single" w:sz="8" w:space="0" w:color="auto"/>
              <w:right w:val="single" w:sz="8" w:space="0" w:color="auto"/>
            </w:tcBorders>
            <w:shd w:val="clear" w:color="auto" w:fill="808080"/>
          </w:tcPr>
          <w:p w:rsidR="00E10233" w:rsidRPr="00BA2B8C" w:rsidRDefault="00E10233" w:rsidP="00105D8A">
            <w:pPr>
              <w:jc w:val="center"/>
              <w:rPr>
                <w:rFonts w:ascii="Calibri" w:hAnsi="Calibri" w:cs="Arial"/>
                <w:b/>
                <w:bCs/>
                <w:color w:val="FFFFFF"/>
                <w:sz w:val="18"/>
                <w:szCs w:val="18"/>
              </w:rPr>
            </w:pPr>
            <w:r w:rsidRPr="00BA2B8C">
              <w:rPr>
                <w:rFonts w:ascii="Calibri" w:hAnsi="Calibri" w:cs="Arial"/>
                <w:b/>
                <w:bCs/>
                <w:color w:val="FFFFFF"/>
                <w:sz w:val="18"/>
                <w:szCs w:val="18"/>
              </w:rPr>
              <w:t>Crédits ECTS</w:t>
            </w:r>
          </w:p>
        </w:tc>
      </w:tr>
      <w:tr w:rsidR="00E10233" w:rsidRPr="00BA2B8C" w:rsidTr="00CD32F3">
        <w:tblPrEx>
          <w:tblCellMar>
            <w:left w:w="108" w:type="dxa"/>
            <w:right w:w="108" w:type="dxa"/>
          </w:tblCellMar>
        </w:tblPrEx>
        <w:trPr>
          <w:trHeight w:val="323"/>
        </w:trPr>
        <w:tc>
          <w:tcPr>
            <w:tcW w:w="6822" w:type="dxa"/>
          </w:tcPr>
          <w:p w:rsidR="00E10233" w:rsidRPr="00BA2B8C" w:rsidRDefault="00E10233" w:rsidP="00702957">
            <w:pPr>
              <w:rPr>
                <w:color w:val="000080"/>
                <w:sz w:val="20"/>
                <w:szCs w:val="20"/>
              </w:rPr>
            </w:pPr>
            <w:r w:rsidRPr="00BA2B8C">
              <w:rPr>
                <w:color w:val="000080"/>
                <w:sz w:val="20"/>
                <w:szCs w:val="20"/>
              </w:rPr>
              <w:t>PRT100 : Psychologie de l’orientation, du développement et de l’éducation</w:t>
            </w:r>
          </w:p>
        </w:tc>
        <w:tc>
          <w:tcPr>
            <w:tcW w:w="2410" w:type="dxa"/>
          </w:tcPr>
          <w:p w:rsidR="00E10233" w:rsidRPr="00BA2B8C" w:rsidRDefault="00E10233" w:rsidP="00702957">
            <w:pPr>
              <w:jc w:val="center"/>
              <w:rPr>
                <w:color w:val="000080"/>
                <w:sz w:val="20"/>
                <w:szCs w:val="20"/>
              </w:rPr>
            </w:pPr>
            <w:r w:rsidRPr="00BA2B8C">
              <w:rPr>
                <w:color w:val="000080"/>
                <w:sz w:val="20"/>
                <w:szCs w:val="20"/>
              </w:rPr>
              <w:t>6</w:t>
            </w:r>
          </w:p>
        </w:tc>
      </w:tr>
      <w:tr w:rsidR="00E10233" w:rsidRPr="00BA2B8C">
        <w:trPr>
          <w:trHeight w:val="287"/>
        </w:trPr>
        <w:tc>
          <w:tcPr>
            <w:tcW w:w="6822" w:type="dxa"/>
            <w:tcBorders>
              <w:top w:val="nil"/>
              <w:left w:val="single" w:sz="8" w:space="0" w:color="auto"/>
              <w:bottom w:val="single" w:sz="8" w:space="0" w:color="auto"/>
              <w:right w:val="single" w:sz="8" w:space="0" w:color="auto"/>
            </w:tcBorders>
          </w:tcPr>
          <w:p w:rsidR="00E10233" w:rsidRPr="00BA2B8C" w:rsidRDefault="00E10233" w:rsidP="00702957">
            <w:pPr>
              <w:rPr>
                <w:color w:val="000080"/>
                <w:sz w:val="20"/>
                <w:szCs w:val="20"/>
              </w:rPr>
            </w:pPr>
            <w:r w:rsidRPr="00BA2B8C">
              <w:rPr>
                <w:color w:val="000080"/>
                <w:sz w:val="20"/>
                <w:szCs w:val="20"/>
              </w:rPr>
              <w:t>PRT101 : Psychologie du travail et organisation des transitions</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523"/>
        </w:trPr>
        <w:tc>
          <w:tcPr>
            <w:tcW w:w="6822" w:type="dxa"/>
            <w:tcBorders>
              <w:top w:val="nil"/>
              <w:left w:val="single" w:sz="8" w:space="0" w:color="auto"/>
              <w:bottom w:val="single" w:sz="8" w:space="0" w:color="auto"/>
              <w:right w:val="single" w:sz="8" w:space="0" w:color="auto"/>
            </w:tcBorders>
          </w:tcPr>
          <w:p w:rsidR="00E10233" w:rsidRPr="00BA2B8C" w:rsidRDefault="00E10233" w:rsidP="00702957">
            <w:pPr>
              <w:rPr>
                <w:color w:val="000080"/>
                <w:sz w:val="20"/>
                <w:szCs w:val="20"/>
              </w:rPr>
            </w:pPr>
            <w:r w:rsidRPr="00BA2B8C">
              <w:rPr>
                <w:color w:val="000080"/>
                <w:sz w:val="20"/>
                <w:szCs w:val="20"/>
              </w:rPr>
              <w:t xml:space="preserve">PRT102 : Méthodologie de la recherche en orientation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82"/>
        </w:trPr>
        <w:tc>
          <w:tcPr>
            <w:tcW w:w="6822" w:type="dxa"/>
            <w:tcBorders>
              <w:top w:val="nil"/>
              <w:left w:val="single" w:sz="8" w:space="0" w:color="auto"/>
              <w:bottom w:val="single" w:sz="8" w:space="0" w:color="auto"/>
              <w:right w:val="single" w:sz="8" w:space="0" w:color="auto"/>
            </w:tcBorders>
          </w:tcPr>
          <w:p w:rsidR="00E10233" w:rsidRPr="00BA2B8C" w:rsidRDefault="00E10233" w:rsidP="00F10962">
            <w:pPr>
              <w:rPr>
                <w:color w:val="000080"/>
                <w:sz w:val="20"/>
                <w:szCs w:val="20"/>
              </w:rPr>
            </w:pPr>
            <w:r w:rsidRPr="00BA2B8C">
              <w:rPr>
                <w:color w:val="000080"/>
                <w:sz w:val="20"/>
                <w:szCs w:val="20"/>
              </w:rPr>
              <w:t xml:space="preserve">PRT103 : Déterminants sociaux de la relation formation/diplôme/emploi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503"/>
        </w:trPr>
        <w:tc>
          <w:tcPr>
            <w:tcW w:w="6822" w:type="dxa"/>
            <w:tcBorders>
              <w:top w:val="nil"/>
              <w:left w:val="single" w:sz="8" w:space="0" w:color="auto"/>
              <w:bottom w:val="single" w:sz="8" w:space="0" w:color="auto"/>
              <w:right w:val="single" w:sz="8" w:space="0" w:color="auto"/>
            </w:tcBorders>
          </w:tcPr>
          <w:p w:rsidR="00E10233" w:rsidRPr="00BA2B8C" w:rsidRDefault="00E10233" w:rsidP="00F10962">
            <w:pPr>
              <w:rPr>
                <w:color w:val="000080"/>
                <w:sz w:val="20"/>
                <w:szCs w:val="20"/>
              </w:rPr>
            </w:pPr>
            <w:r w:rsidRPr="00BA2B8C">
              <w:rPr>
                <w:color w:val="000080"/>
                <w:sz w:val="20"/>
                <w:szCs w:val="20"/>
              </w:rPr>
              <w:t xml:space="preserve">Une UE à choisir avec l’accord de l’enseignant responsable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503"/>
        </w:trPr>
        <w:tc>
          <w:tcPr>
            <w:tcW w:w="6822" w:type="dxa"/>
            <w:tcBorders>
              <w:top w:val="nil"/>
              <w:left w:val="single" w:sz="8" w:space="0" w:color="auto"/>
              <w:bottom w:val="single" w:sz="8" w:space="0" w:color="auto"/>
              <w:right w:val="single" w:sz="8" w:space="0" w:color="auto"/>
            </w:tcBorders>
          </w:tcPr>
          <w:p w:rsidR="00E10233" w:rsidRPr="00BA2B8C" w:rsidRDefault="00E10233" w:rsidP="006D2141">
            <w:pPr>
              <w:rPr>
                <w:color w:val="000080"/>
                <w:sz w:val="20"/>
                <w:szCs w:val="20"/>
              </w:rPr>
            </w:pPr>
            <w:r w:rsidRPr="00BA2B8C">
              <w:rPr>
                <w:color w:val="000080"/>
                <w:sz w:val="20"/>
                <w:szCs w:val="20"/>
              </w:rPr>
              <w:t>UAOP10 : Mémoire</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F10962">
            <w:pPr>
              <w:rPr>
                <w:color w:val="000080"/>
                <w:sz w:val="20"/>
                <w:szCs w:val="20"/>
              </w:rPr>
            </w:pPr>
            <w:r w:rsidRPr="00BA2B8C">
              <w:rPr>
                <w:color w:val="000080"/>
                <w:sz w:val="20"/>
                <w:szCs w:val="20"/>
              </w:rPr>
              <w:t>PRT104 : Counseling, intervention, entretien et groupe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F10962">
            <w:pPr>
              <w:rPr>
                <w:color w:val="000080"/>
                <w:sz w:val="20"/>
                <w:szCs w:val="20"/>
              </w:rPr>
            </w:pPr>
            <w:r w:rsidRPr="00BA2B8C">
              <w:rPr>
                <w:color w:val="000080"/>
                <w:sz w:val="20"/>
                <w:szCs w:val="20"/>
              </w:rPr>
              <w:t>PRT105 : Communication écrite</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2</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PRT106 : Validation des acquis et développement de l’expérience</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PRT107 : Méthodes et outils d’évaluation</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Test d’anglais (Bulat UA2B22 niveau 2)</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2</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 xml:space="preserve">Une UE à choisir avec l’accord de l’enseignant responsable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6D2141">
            <w:pPr>
              <w:rPr>
                <w:color w:val="000080"/>
                <w:sz w:val="20"/>
                <w:szCs w:val="20"/>
              </w:rPr>
            </w:pPr>
            <w:r w:rsidRPr="00BA2B8C">
              <w:rPr>
                <w:color w:val="000080"/>
                <w:sz w:val="20"/>
                <w:szCs w:val="20"/>
              </w:rPr>
              <w:t>UA0P11 : Mémoire</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6D2141">
            <w:pPr>
              <w:rPr>
                <w:color w:val="000080"/>
                <w:sz w:val="20"/>
                <w:szCs w:val="20"/>
              </w:rPr>
            </w:pPr>
            <w:r w:rsidRPr="00BA2B8C">
              <w:rPr>
                <w:color w:val="000080"/>
                <w:sz w:val="20"/>
                <w:szCs w:val="20"/>
              </w:rPr>
              <w:t xml:space="preserve">UA211E : Stage en organisme professionnel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bl>
    <w:p w:rsidR="00E10233" w:rsidRDefault="00E10233"/>
    <w:p w:rsidR="00E10233" w:rsidRDefault="00E10233"/>
    <w:tbl>
      <w:tblPr>
        <w:tblW w:w="9232" w:type="dxa"/>
        <w:tblInd w:w="52" w:type="dxa"/>
        <w:tblCellMar>
          <w:left w:w="70" w:type="dxa"/>
          <w:right w:w="70" w:type="dxa"/>
        </w:tblCellMar>
        <w:tblLook w:val="0000"/>
      </w:tblPr>
      <w:tblGrid>
        <w:gridCol w:w="6822"/>
        <w:gridCol w:w="2410"/>
      </w:tblGrid>
      <w:tr w:rsidR="00E10233" w:rsidRPr="00BA2B8C">
        <w:trPr>
          <w:trHeight w:val="532"/>
        </w:trPr>
        <w:tc>
          <w:tcPr>
            <w:tcW w:w="6822" w:type="dxa"/>
            <w:tcBorders>
              <w:top w:val="single" w:sz="8" w:space="0" w:color="auto"/>
              <w:left w:val="single" w:sz="8" w:space="0" w:color="auto"/>
              <w:bottom w:val="single" w:sz="8" w:space="0" w:color="auto"/>
              <w:right w:val="single" w:sz="8" w:space="0" w:color="auto"/>
            </w:tcBorders>
            <w:shd w:val="clear" w:color="auto" w:fill="808080"/>
          </w:tcPr>
          <w:p w:rsidR="00E10233" w:rsidRPr="00BA2B8C" w:rsidRDefault="00E10233" w:rsidP="00105D8A">
            <w:pPr>
              <w:jc w:val="both"/>
              <w:rPr>
                <w:rFonts w:ascii="Calibri" w:hAnsi="Calibri" w:cs="Arial"/>
                <w:b/>
                <w:bCs/>
                <w:color w:val="FFFFFF"/>
              </w:rPr>
            </w:pPr>
            <w:r w:rsidRPr="00BA2B8C">
              <w:rPr>
                <w:rFonts w:ascii="Calibri" w:hAnsi="Calibri" w:cs="Arial"/>
                <w:b/>
                <w:bCs/>
                <w:color w:val="FFFFFF"/>
              </w:rPr>
              <w:t>M2 - Parcours professionnel « Psychologie de l’Orientation et du Conseil »- Semestre 3 et 4</w:t>
            </w:r>
          </w:p>
        </w:tc>
        <w:tc>
          <w:tcPr>
            <w:tcW w:w="2410" w:type="dxa"/>
            <w:tcBorders>
              <w:top w:val="single" w:sz="8" w:space="0" w:color="auto"/>
              <w:left w:val="nil"/>
              <w:bottom w:val="single" w:sz="8" w:space="0" w:color="auto"/>
              <w:right w:val="single" w:sz="8" w:space="0" w:color="auto"/>
            </w:tcBorders>
            <w:shd w:val="clear" w:color="auto" w:fill="808080"/>
          </w:tcPr>
          <w:p w:rsidR="00E10233" w:rsidRPr="00BA2B8C" w:rsidRDefault="00E10233" w:rsidP="00105D8A">
            <w:pPr>
              <w:jc w:val="center"/>
              <w:rPr>
                <w:rFonts w:ascii="Calibri" w:hAnsi="Calibri" w:cs="Arial"/>
                <w:b/>
                <w:bCs/>
                <w:color w:val="FFFFFF"/>
                <w:sz w:val="18"/>
                <w:szCs w:val="18"/>
              </w:rPr>
            </w:pPr>
            <w:r w:rsidRPr="00BA2B8C">
              <w:rPr>
                <w:rFonts w:ascii="Calibri" w:hAnsi="Calibri" w:cs="Arial"/>
                <w:b/>
                <w:bCs/>
                <w:color w:val="FFFFFF"/>
                <w:sz w:val="18"/>
                <w:szCs w:val="18"/>
              </w:rPr>
              <w:t>Crédits ECTS</w:t>
            </w:r>
          </w:p>
        </w:tc>
      </w:tr>
      <w:tr w:rsidR="00E10233" w:rsidRPr="00BA2B8C">
        <w:trPr>
          <w:trHeight w:val="319"/>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PRT220 : Psychologie de l’orientation</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8</w:t>
            </w:r>
          </w:p>
        </w:tc>
      </w:tr>
      <w:tr w:rsidR="00E10233" w:rsidRPr="00BA2B8C">
        <w:trPr>
          <w:trHeight w:val="287"/>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PRT221 : L’évaluation des personnes</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523"/>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PRT222 : Démarches d’orientation et pratiques professionnelles</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82"/>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PRT223 : Counseling et intervention individuelle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503"/>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PRT224 : Le marché du travail et la relation emploi formation</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PRT225 : Théories et pratiques du groupe en orientation</w:t>
            </w:r>
          </w:p>
        </w:tc>
        <w:tc>
          <w:tcPr>
            <w:tcW w:w="2410" w:type="dxa"/>
            <w:tcBorders>
              <w:top w:val="nil"/>
              <w:left w:val="nil"/>
              <w:bottom w:val="single" w:sz="8" w:space="0" w:color="auto"/>
              <w:right w:val="single" w:sz="8" w:space="0" w:color="auto"/>
            </w:tcBorders>
          </w:tcPr>
          <w:p w:rsidR="00E10233" w:rsidRPr="00BA2B8C" w:rsidRDefault="00E10233" w:rsidP="00702957">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PRT226 : Structures, institutions et pratiques professionnelles</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Une UE thématique à choisir (voir les conditions de choix en début d’année : PRT106, PRT 228, PRT 229 ou PRT 230).</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UA211B : Stage professionnel et rapport de stage (15 semaines minimum)</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18</w:t>
            </w:r>
          </w:p>
        </w:tc>
      </w:tr>
    </w:tbl>
    <w:p w:rsidR="00E10233" w:rsidRDefault="00E10233" w:rsidP="00702957">
      <w:pPr>
        <w:rPr>
          <w:rFonts w:ascii="Calibri" w:hAnsi="Calibri" w:cs="Arial"/>
          <w:b/>
          <w:color w:val="000000"/>
        </w:rPr>
      </w:pPr>
    </w:p>
    <w:tbl>
      <w:tblPr>
        <w:tblW w:w="9232" w:type="dxa"/>
        <w:tblInd w:w="52" w:type="dxa"/>
        <w:tblCellMar>
          <w:left w:w="70" w:type="dxa"/>
          <w:right w:w="70" w:type="dxa"/>
        </w:tblCellMar>
        <w:tblLook w:val="0000"/>
      </w:tblPr>
      <w:tblGrid>
        <w:gridCol w:w="6822"/>
        <w:gridCol w:w="2410"/>
      </w:tblGrid>
      <w:tr w:rsidR="00E10233" w:rsidRPr="00BA2B8C">
        <w:trPr>
          <w:trHeight w:val="532"/>
        </w:trPr>
        <w:tc>
          <w:tcPr>
            <w:tcW w:w="6822" w:type="dxa"/>
            <w:tcBorders>
              <w:top w:val="single" w:sz="8" w:space="0" w:color="auto"/>
              <w:left w:val="single" w:sz="8" w:space="0" w:color="auto"/>
              <w:bottom w:val="single" w:sz="8" w:space="0" w:color="auto"/>
              <w:right w:val="single" w:sz="8" w:space="0" w:color="auto"/>
            </w:tcBorders>
            <w:shd w:val="clear" w:color="auto" w:fill="808080"/>
          </w:tcPr>
          <w:p w:rsidR="00E10233" w:rsidRPr="00BA2B8C" w:rsidRDefault="00E10233" w:rsidP="00773392">
            <w:pPr>
              <w:jc w:val="both"/>
              <w:rPr>
                <w:rFonts w:ascii="Calibri" w:hAnsi="Calibri" w:cs="Arial"/>
                <w:b/>
                <w:bCs/>
                <w:color w:val="FFFFFF"/>
              </w:rPr>
            </w:pPr>
            <w:r w:rsidRPr="00BA2B8C">
              <w:rPr>
                <w:rFonts w:ascii="Calibri" w:hAnsi="Calibri" w:cs="Arial"/>
                <w:b/>
                <w:bCs/>
                <w:color w:val="FFFFFF"/>
              </w:rPr>
              <w:t>M1 -  « Conseil en orientation, bilan et insertion »- Semestre 1 et 2</w:t>
            </w:r>
          </w:p>
        </w:tc>
        <w:tc>
          <w:tcPr>
            <w:tcW w:w="2410" w:type="dxa"/>
            <w:tcBorders>
              <w:top w:val="single" w:sz="8" w:space="0" w:color="auto"/>
              <w:left w:val="nil"/>
              <w:bottom w:val="single" w:sz="8" w:space="0" w:color="auto"/>
              <w:right w:val="single" w:sz="8" w:space="0" w:color="auto"/>
            </w:tcBorders>
            <w:shd w:val="clear" w:color="auto" w:fill="808080"/>
          </w:tcPr>
          <w:p w:rsidR="00E10233" w:rsidRPr="00BA2B8C" w:rsidRDefault="00E10233" w:rsidP="00105D8A">
            <w:pPr>
              <w:jc w:val="center"/>
              <w:rPr>
                <w:rFonts w:ascii="Calibri" w:hAnsi="Calibri" w:cs="Arial"/>
                <w:b/>
                <w:bCs/>
                <w:color w:val="FFFFFF"/>
                <w:sz w:val="18"/>
                <w:szCs w:val="18"/>
              </w:rPr>
            </w:pPr>
            <w:r w:rsidRPr="00BA2B8C">
              <w:rPr>
                <w:rFonts w:ascii="Calibri" w:hAnsi="Calibri" w:cs="Arial"/>
                <w:b/>
                <w:bCs/>
                <w:color w:val="FFFFFF"/>
                <w:sz w:val="18"/>
                <w:szCs w:val="18"/>
              </w:rPr>
              <w:t>Crédits ECTS</w:t>
            </w:r>
          </w:p>
        </w:tc>
      </w:tr>
      <w:tr w:rsidR="00E10233" w:rsidRPr="00BA2B8C">
        <w:trPr>
          <w:trHeight w:val="319"/>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PRT100 : Psychologie de l’orientation, du développement et de l’éducation</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287"/>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PRT101 : Psychologie du travail et organisation des transitions</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523"/>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 xml:space="preserve">PRT102 : Méthodologie de la recherche en orientation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82"/>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 xml:space="preserve">PRT103 : Déterminants sociaux de la relation formation/diplôme/emploi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503"/>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 xml:space="preserve">Une UE à choisir avec l’accord de l’enseignant responsable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503"/>
        </w:trPr>
        <w:tc>
          <w:tcPr>
            <w:tcW w:w="6822" w:type="dxa"/>
            <w:tcBorders>
              <w:top w:val="nil"/>
              <w:left w:val="single" w:sz="8" w:space="0" w:color="auto"/>
              <w:bottom w:val="single" w:sz="8" w:space="0" w:color="auto"/>
              <w:right w:val="single" w:sz="8" w:space="0" w:color="auto"/>
            </w:tcBorders>
          </w:tcPr>
          <w:p w:rsidR="00E10233" w:rsidRPr="00BA2B8C" w:rsidRDefault="00E10233" w:rsidP="00773392">
            <w:pPr>
              <w:rPr>
                <w:color w:val="000080"/>
                <w:sz w:val="20"/>
                <w:szCs w:val="20"/>
              </w:rPr>
            </w:pPr>
            <w:r w:rsidRPr="00BA2B8C">
              <w:rPr>
                <w:color w:val="000080"/>
                <w:sz w:val="20"/>
                <w:szCs w:val="20"/>
              </w:rPr>
              <w:t>UAOP10 : Mémoire</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PRT104 : Counseling, intervention, entretien et groupe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PRT105 : Communication écrite</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2</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PRT106 : Validation des acquis et développement de l’expérience</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773392">
            <w:pPr>
              <w:rPr>
                <w:color w:val="000080"/>
                <w:sz w:val="20"/>
                <w:szCs w:val="20"/>
              </w:rPr>
            </w:pPr>
            <w:r w:rsidRPr="00BA2B8C">
              <w:rPr>
                <w:color w:val="000080"/>
                <w:sz w:val="20"/>
                <w:szCs w:val="20"/>
              </w:rPr>
              <w:t>PRT109 : Eléments de psychologie générale pour l’orientation</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Test d’anglais (Bulat UA2B22 niveau 2)</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2</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 xml:space="preserve">Une UE à choisir avec l’accord de l’enseignant responsable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773392">
            <w:pPr>
              <w:rPr>
                <w:color w:val="000080"/>
                <w:sz w:val="20"/>
                <w:szCs w:val="20"/>
              </w:rPr>
            </w:pPr>
            <w:r w:rsidRPr="00BA2B8C">
              <w:rPr>
                <w:color w:val="000080"/>
                <w:sz w:val="20"/>
                <w:szCs w:val="20"/>
              </w:rPr>
              <w:t>UAOP11 : Mémoire</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773392">
            <w:pPr>
              <w:rPr>
                <w:color w:val="000080"/>
                <w:sz w:val="20"/>
                <w:szCs w:val="20"/>
              </w:rPr>
            </w:pPr>
            <w:r w:rsidRPr="00BA2B8C">
              <w:rPr>
                <w:color w:val="000080"/>
                <w:sz w:val="20"/>
                <w:szCs w:val="20"/>
              </w:rPr>
              <w:t xml:space="preserve">UA211E : Stage en organisme professionnel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bl>
    <w:p w:rsidR="00E10233" w:rsidRDefault="00E10233" w:rsidP="00702957">
      <w:pPr>
        <w:rPr>
          <w:rFonts w:ascii="Calibri" w:hAnsi="Calibri" w:cs="Arial"/>
          <w:b/>
          <w:color w:val="000000"/>
        </w:rPr>
      </w:pPr>
    </w:p>
    <w:tbl>
      <w:tblPr>
        <w:tblW w:w="9232" w:type="dxa"/>
        <w:tblInd w:w="52" w:type="dxa"/>
        <w:tblCellMar>
          <w:left w:w="70" w:type="dxa"/>
          <w:right w:w="70" w:type="dxa"/>
        </w:tblCellMar>
        <w:tblLook w:val="0000"/>
      </w:tblPr>
      <w:tblGrid>
        <w:gridCol w:w="6822"/>
        <w:gridCol w:w="2410"/>
      </w:tblGrid>
      <w:tr w:rsidR="00E10233" w:rsidRPr="00BA2B8C">
        <w:trPr>
          <w:trHeight w:val="532"/>
        </w:trPr>
        <w:tc>
          <w:tcPr>
            <w:tcW w:w="6822" w:type="dxa"/>
            <w:tcBorders>
              <w:top w:val="single" w:sz="8" w:space="0" w:color="auto"/>
              <w:left w:val="single" w:sz="8" w:space="0" w:color="auto"/>
              <w:bottom w:val="single" w:sz="8" w:space="0" w:color="auto"/>
              <w:right w:val="single" w:sz="8" w:space="0" w:color="auto"/>
            </w:tcBorders>
            <w:shd w:val="clear" w:color="auto" w:fill="808080"/>
          </w:tcPr>
          <w:p w:rsidR="00E10233" w:rsidRPr="00BA2B8C" w:rsidRDefault="00E10233" w:rsidP="00105D8A">
            <w:pPr>
              <w:jc w:val="both"/>
              <w:rPr>
                <w:rFonts w:ascii="Calibri" w:hAnsi="Calibri" w:cs="Arial"/>
                <w:b/>
                <w:bCs/>
                <w:color w:val="FFFFFF"/>
              </w:rPr>
            </w:pPr>
            <w:r w:rsidRPr="00BA2B8C">
              <w:rPr>
                <w:rFonts w:ascii="Calibri" w:hAnsi="Calibri" w:cs="Arial"/>
                <w:b/>
                <w:bCs/>
                <w:color w:val="FFFFFF"/>
              </w:rPr>
              <w:t>M2 - Parcours professionnel « Conseil en orientation, bilan et insertion »- Semestre 3 et 4</w:t>
            </w:r>
          </w:p>
        </w:tc>
        <w:tc>
          <w:tcPr>
            <w:tcW w:w="2410" w:type="dxa"/>
            <w:tcBorders>
              <w:top w:val="single" w:sz="8" w:space="0" w:color="auto"/>
              <w:left w:val="nil"/>
              <w:bottom w:val="single" w:sz="8" w:space="0" w:color="auto"/>
              <w:right w:val="single" w:sz="8" w:space="0" w:color="auto"/>
            </w:tcBorders>
            <w:shd w:val="clear" w:color="auto" w:fill="808080"/>
          </w:tcPr>
          <w:p w:rsidR="00E10233" w:rsidRPr="00BA2B8C" w:rsidRDefault="00E10233" w:rsidP="00105D8A">
            <w:pPr>
              <w:jc w:val="center"/>
              <w:rPr>
                <w:rFonts w:ascii="Calibri" w:hAnsi="Calibri" w:cs="Arial"/>
                <w:b/>
                <w:bCs/>
                <w:color w:val="FFFFFF"/>
                <w:sz w:val="18"/>
                <w:szCs w:val="18"/>
              </w:rPr>
            </w:pPr>
            <w:r w:rsidRPr="00BA2B8C">
              <w:rPr>
                <w:rFonts w:ascii="Calibri" w:hAnsi="Calibri" w:cs="Arial"/>
                <w:b/>
                <w:bCs/>
                <w:color w:val="FFFFFF"/>
                <w:sz w:val="18"/>
                <w:szCs w:val="18"/>
              </w:rPr>
              <w:t>Crédits ECTS</w:t>
            </w:r>
          </w:p>
        </w:tc>
      </w:tr>
      <w:tr w:rsidR="00E10233" w:rsidRPr="00BA2B8C">
        <w:trPr>
          <w:trHeight w:val="319"/>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PRT220 : Psychologie de l’orientation</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8</w:t>
            </w:r>
          </w:p>
        </w:tc>
      </w:tr>
      <w:tr w:rsidR="00E10233" w:rsidRPr="00BA2B8C">
        <w:trPr>
          <w:trHeight w:val="287"/>
        </w:trPr>
        <w:tc>
          <w:tcPr>
            <w:tcW w:w="6822" w:type="dxa"/>
            <w:tcBorders>
              <w:top w:val="nil"/>
              <w:left w:val="single" w:sz="8" w:space="0" w:color="auto"/>
              <w:bottom w:val="single" w:sz="8" w:space="0" w:color="auto"/>
              <w:right w:val="single" w:sz="8" w:space="0" w:color="auto"/>
            </w:tcBorders>
          </w:tcPr>
          <w:p w:rsidR="00E10233" w:rsidRPr="00BA2B8C" w:rsidRDefault="00E10233" w:rsidP="00773392">
            <w:pPr>
              <w:rPr>
                <w:color w:val="000080"/>
                <w:sz w:val="20"/>
                <w:szCs w:val="20"/>
              </w:rPr>
            </w:pPr>
            <w:r w:rsidRPr="00BA2B8C">
              <w:rPr>
                <w:color w:val="000080"/>
                <w:sz w:val="20"/>
                <w:szCs w:val="20"/>
              </w:rPr>
              <w:t>PRT231 : Connaissances des méthodologies d’évaluation</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523"/>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PRT222 : Démarches d’orientation et pratiques professionnelles</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82"/>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PRT223 : Counseling et intervention individuelle </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503"/>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PRT224 : Le marché du travail et la relation emploi formation</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6</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PRT225 : Théories et pratiques du groupe en orientation</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PRT226 : Structures, institutions et pratiques professionnelles</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773392">
            <w:pPr>
              <w:rPr>
                <w:color w:val="000080"/>
                <w:sz w:val="20"/>
                <w:szCs w:val="20"/>
              </w:rPr>
            </w:pPr>
            <w:r w:rsidRPr="00BA2B8C">
              <w:rPr>
                <w:color w:val="000080"/>
                <w:sz w:val="20"/>
                <w:szCs w:val="20"/>
              </w:rPr>
              <w:t>Une UE thématique à choisir (voir les conditions de choix en début d’année : PRT106, PRT 229 ou PRT 230).</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PRT232 : Analyse des pratiques professionnelles</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105D8A">
            <w:pPr>
              <w:rPr>
                <w:color w:val="000080"/>
                <w:sz w:val="20"/>
                <w:szCs w:val="20"/>
              </w:rPr>
            </w:pPr>
            <w:r w:rsidRPr="00BA2B8C">
              <w:rPr>
                <w:color w:val="000080"/>
                <w:sz w:val="20"/>
                <w:szCs w:val="20"/>
              </w:rPr>
              <w:t>PRT233 : Les évolutions du droit à la formation</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4</w:t>
            </w:r>
          </w:p>
        </w:tc>
      </w:tr>
      <w:tr w:rsidR="00E10233" w:rsidRPr="00BA2B8C">
        <w:trPr>
          <w:trHeight w:val="270"/>
        </w:trPr>
        <w:tc>
          <w:tcPr>
            <w:tcW w:w="6822" w:type="dxa"/>
            <w:tcBorders>
              <w:top w:val="nil"/>
              <w:left w:val="single" w:sz="8" w:space="0" w:color="auto"/>
              <w:bottom w:val="single" w:sz="8" w:space="0" w:color="auto"/>
              <w:right w:val="single" w:sz="8" w:space="0" w:color="auto"/>
            </w:tcBorders>
          </w:tcPr>
          <w:p w:rsidR="00E10233" w:rsidRPr="00BA2B8C" w:rsidRDefault="00E10233" w:rsidP="00773392">
            <w:pPr>
              <w:rPr>
                <w:color w:val="000080"/>
                <w:sz w:val="20"/>
                <w:szCs w:val="20"/>
              </w:rPr>
            </w:pPr>
            <w:r w:rsidRPr="00BA2B8C">
              <w:rPr>
                <w:color w:val="000080"/>
                <w:sz w:val="20"/>
                <w:szCs w:val="20"/>
              </w:rPr>
              <w:t>UA211F : Formaliser les acquis de l’expérience</w:t>
            </w:r>
          </w:p>
        </w:tc>
        <w:tc>
          <w:tcPr>
            <w:tcW w:w="2410" w:type="dxa"/>
            <w:tcBorders>
              <w:top w:val="nil"/>
              <w:left w:val="nil"/>
              <w:bottom w:val="single" w:sz="8" w:space="0" w:color="auto"/>
              <w:right w:val="single" w:sz="8" w:space="0" w:color="auto"/>
            </w:tcBorders>
          </w:tcPr>
          <w:p w:rsidR="00E10233" w:rsidRPr="00BA2B8C" w:rsidRDefault="00E10233" w:rsidP="00105D8A">
            <w:pPr>
              <w:jc w:val="center"/>
              <w:rPr>
                <w:color w:val="000080"/>
                <w:sz w:val="20"/>
                <w:szCs w:val="20"/>
              </w:rPr>
            </w:pPr>
            <w:r w:rsidRPr="00BA2B8C">
              <w:rPr>
                <w:color w:val="000080"/>
                <w:sz w:val="20"/>
                <w:szCs w:val="20"/>
              </w:rPr>
              <w:t>10</w:t>
            </w:r>
          </w:p>
        </w:tc>
      </w:tr>
    </w:tbl>
    <w:p w:rsidR="00E10233" w:rsidRDefault="00E10233" w:rsidP="00CB6B22">
      <w:pPr>
        <w:widowControl w:val="0"/>
        <w:tabs>
          <w:tab w:val="left" w:pos="567"/>
        </w:tabs>
        <w:autoSpaceDE w:val="0"/>
        <w:autoSpaceDN w:val="0"/>
        <w:adjustRightInd w:val="0"/>
        <w:spacing w:after="0"/>
        <w:ind w:right="-8"/>
        <w:jc w:val="both"/>
      </w:pPr>
    </w:p>
    <w:sectPr w:rsidR="00E10233" w:rsidSect="0007408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233" w:rsidRDefault="00E10233" w:rsidP="00CE150A">
      <w:pPr>
        <w:spacing w:after="0" w:line="240" w:lineRule="auto"/>
      </w:pPr>
      <w:r>
        <w:separator/>
      </w:r>
    </w:p>
  </w:endnote>
  <w:endnote w:type="continuationSeparator" w:id="0">
    <w:p w:rsidR="00E10233" w:rsidRDefault="00E10233" w:rsidP="00CE15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233" w:rsidRDefault="00E10233">
    <w:pPr>
      <w:pStyle w:val="Footer"/>
      <w:jc w:val="right"/>
    </w:pPr>
    <w:fldSimple w:instr="PAGE   \* MERGEFORMAT">
      <w:r>
        <w:rPr>
          <w:noProof/>
        </w:rPr>
        <w:t>1</w:t>
      </w:r>
    </w:fldSimple>
  </w:p>
  <w:p w:rsidR="00E10233" w:rsidRDefault="00E10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233" w:rsidRDefault="00E10233" w:rsidP="00CE150A">
      <w:pPr>
        <w:spacing w:after="0" w:line="240" w:lineRule="auto"/>
      </w:pPr>
      <w:r>
        <w:separator/>
      </w:r>
    </w:p>
  </w:footnote>
  <w:footnote w:type="continuationSeparator" w:id="0">
    <w:p w:rsidR="00E10233" w:rsidRDefault="00E10233" w:rsidP="00CE15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547C6"/>
    <w:multiLevelType w:val="hybridMultilevel"/>
    <w:tmpl w:val="66A4F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CCE3E92"/>
    <w:multiLevelType w:val="hybridMultilevel"/>
    <w:tmpl w:val="BDEC8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FAB"/>
    <w:rsid w:val="00074089"/>
    <w:rsid w:val="0009437F"/>
    <w:rsid w:val="00105D8A"/>
    <w:rsid w:val="00113341"/>
    <w:rsid w:val="0015133D"/>
    <w:rsid w:val="00217048"/>
    <w:rsid w:val="00292D1F"/>
    <w:rsid w:val="002A191E"/>
    <w:rsid w:val="00305863"/>
    <w:rsid w:val="003C3624"/>
    <w:rsid w:val="003E45DB"/>
    <w:rsid w:val="003F31F1"/>
    <w:rsid w:val="00461388"/>
    <w:rsid w:val="004641D3"/>
    <w:rsid w:val="004776D4"/>
    <w:rsid w:val="004B1E90"/>
    <w:rsid w:val="00506961"/>
    <w:rsid w:val="005C75F5"/>
    <w:rsid w:val="00643D0E"/>
    <w:rsid w:val="006D2141"/>
    <w:rsid w:val="00702957"/>
    <w:rsid w:val="00773392"/>
    <w:rsid w:val="00776323"/>
    <w:rsid w:val="007933B4"/>
    <w:rsid w:val="0080165F"/>
    <w:rsid w:val="00872D42"/>
    <w:rsid w:val="008A2040"/>
    <w:rsid w:val="008D0087"/>
    <w:rsid w:val="009638A8"/>
    <w:rsid w:val="00AD2C54"/>
    <w:rsid w:val="00B30FB4"/>
    <w:rsid w:val="00B3626D"/>
    <w:rsid w:val="00B53375"/>
    <w:rsid w:val="00B809D2"/>
    <w:rsid w:val="00BA2B8C"/>
    <w:rsid w:val="00BC667E"/>
    <w:rsid w:val="00C80A47"/>
    <w:rsid w:val="00CB6B22"/>
    <w:rsid w:val="00CD32F3"/>
    <w:rsid w:val="00CE150A"/>
    <w:rsid w:val="00D53BEC"/>
    <w:rsid w:val="00D8573C"/>
    <w:rsid w:val="00E00C91"/>
    <w:rsid w:val="00E10233"/>
    <w:rsid w:val="00E1752A"/>
    <w:rsid w:val="00E22A2F"/>
    <w:rsid w:val="00E57BFC"/>
    <w:rsid w:val="00F10962"/>
    <w:rsid w:val="00F12AB8"/>
    <w:rsid w:val="00F22D8B"/>
    <w:rsid w:val="00F35FAB"/>
    <w:rsid w:val="00F3748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089"/>
    <w:pPr>
      <w:spacing w:after="200" w:line="276" w:lineRule="auto"/>
    </w:pPr>
    <w:rPr>
      <w:iCs/>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5FAB"/>
    <w:pPr>
      <w:ind w:left="720"/>
      <w:contextualSpacing/>
    </w:pPr>
  </w:style>
  <w:style w:type="paragraph" w:styleId="Footer">
    <w:name w:val="footer"/>
    <w:basedOn w:val="Normal"/>
    <w:link w:val="FooterChar"/>
    <w:uiPriority w:val="99"/>
    <w:rsid w:val="00F37485"/>
    <w:pPr>
      <w:tabs>
        <w:tab w:val="center" w:pos="4536"/>
        <w:tab w:val="right" w:pos="9072"/>
      </w:tabs>
      <w:spacing w:after="0" w:line="240" w:lineRule="auto"/>
    </w:pPr>
    <w:rPr>
      <w:rFonts w:eastAsia="Times New Roman"/>
      <w:iCs w:val="0"/>
      <w:sz w:val="20"/>
      <w:szCs w:val="20"/>
      <w:lang w:eastAsia="fr-FR"/>
    </w:rPr>
  </w:style>
  <w:style w:type="character" w:customStyle="1" w:styleId="FooterChar">
    <w:name w:val="Footer Char"/>
    <w:basedOn w:val="DefaultParagraphFont"/>
    <w:link w:val="Footer"/>
    <w:uiPriority w:val="99"/>
    <w:locked/>
    <w:rsid w:val="00F37485"/>
    <w:rPr>
      <w:rFonts w:eastAsia="Times New Roman"/>
      <w:sz w:val="20"/>
      <w:lang w:eastAsia="fr-FR"/>
    </w:rPr>
  </w:style>
  <w:style w:type="character" w:styleId="Hyperlink">
    <w:name w:val="Hyperlink"/>
    <w:basedOn w:val="DefaultParagraphFont"/>
    <w:uiPriority w:val="99"/>
    <w:rsid w:val="00CE150A"/>
    <w:rPr>
      <w:rFonts w:cs="Times New Roman"/>
      <w:color w:val="0000FF"/>
      <w:u w:val="single"/>
    </w:rPr>
  </w:style>
  <w:style w:type="paragraph" w:styleId="Header">
    <w:name w:val="header"/>
    <w:basedOn w:val="Normal"/>
    <w:link w:val="HeaderChar"/>
    <w:uiPriority w:val="99"/>
    <w:rsid w:val="00CE150A"/>
    <w:pPr>
      <w:tabs>
        <w:tab w:val="center" w:pos="4536"/>
        <w:tab w:val="right" w:pos="9072"/>
      </w:tabs>
      <w:spacing w:after="0" w:line="240" w:lineRule="auto"/>
    </w:pPr>
    <w:rPr>
      <w:iCs w:val="0"/>
      <w:sz w:val="20"/>
      <w:szCs w:val="20"/>
      <w:lang w:eastAsia="fr-FR"/>
    </w:rPr>
  </w:style>
  <w:style w:type="character" w:customStyle="1" w:styleId="HeaderChar">
    <w:name w:val="Header Char"/>
    <w:basedOn w:val="DefaultParagraphFont"/>
    <w:link w:val="Header"/>
    <w:uiPriority w:val="99"/>
    <w:locked/>
    <w:rsid w:val="00CE150A"/>
  </w:style>
  <w:style w:type="paragraph" w:styleId="BalloonText">
    <w:name w:val="Balloon Text"/>
    <w:basedOn w:val="Normal"/>
    <w:link w:val="BalloonTextChar"/>
    <w:uiPriority w:val="99"/>
    <w:semiHidden/>
    <w:rsid w:val="00F12AB8"/>
    <w:rPr>
      <w:sz w:val="2"/>
    </w:rPr>
  </w:style>
  <w:style w:type="character" w:customStyle="1" w:styleId="BalloonTextChar">
    <w:name w:val="Balloon Text Char"/>
    <w:basedOn w:val="DefaultParagraphFont"/>
    <w:link w:val="BalloonText"/>
    <w:uiPriority w:val="99"/>
    <w:semiHidden/>
    <w:locked/>
    <w:rPr>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etop.cnam.fr/" TargetMode="External"/><Relationship Id="rId3" Type="http://schemas.openxmlformats.org/officeDocument/2006/relationships/settings" Target="settings.xml"/><Relationship Id="rId7" Type="http://schemas.openxmlformats.org/officeDocument/2006/relationships/hyperlink" Target="http://inetop.cnam.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etop.cna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1481</Words>
  <Characters>8147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formation en orientation de niveau Master</dc:title>
  <dc:subject/>
  <dc:creator>CHARTIER</dc:creator>
  <cp:keywords/>
  <dc:description/>
  <cp:lastModifiedBy>TERRIOT</cp:lastModifiedBy>
  <cp:revision>2</cp:revision>
  <cp:lastPrinted>2013-04-26T06:24:00Z</cp:lastPrinted>
  <dcterms:created xsi:type="dcterms:W3CDTF">2014-05-20T16:01:00Z</dcterms:created>
  <dcterms:modified xsi:type="dcterms:W3CDTF">2014-05-20T16:01:00Z</dcterms:modified>
</cp:coreProperties>
</file>